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2AF" w:rsidRDefault="00F522AF" w:rsidP="00F522AF">
      <w:pPr>
        <w:pStyle w:val="Articletitle"/>
      </w:pPr>
      <w:r>
        <w:t xml:space="preserve">IP Wales (1999-2019): an international case study in </w:t>
      </w:r>
      <w:r w:rsidR="00FC76F6">
        <w:t xml:space="preserve">supporting SME entrepreneurship </w:t>
      </w:r>
    </w:p>
    <w:p w:rsidR="00F522AF" w:rsidRPr="0006569F" w:rsidRDefault="00F522AF" w:rsidP="00F522AF">
      <w:pPr>
        <w:pStyle w:val="Authornames"/>
        <w:rPr>
          <w:i/>
          <w:iCs/>
        </w:rPr>
      </w:pPr>
      <w:r w:rsidRPr="0006569F">
        <w:rPr>
          <w:i/>
          <w:iCs/>
        </w:rPr>
        <w:t xml:space="preserve">Andrew Beale </w:t>
      </w:r>
      <w:r>
        <w:rPr>
          <w:i/>
          <w:iCs/>
        </w:rPr>
        <w:t>OBE</w:t>
      </w:r>
    </w:p>
    <w:p w:rsidR="00F522AF" w:rsidRDefault="00F522AF" w:rsidP="00F522AF">
      <w:pPr>
        <w:pStyle w:val="Affiliation"/>
      </w:pPr>
      <w:r>
        <w:t>Associate Professor, Hillary Rodham Clinton School of Law, Swansea University, Wales, United Kingdom</w:t>
      </w:r>
    </w:p>
    <w:p w:rsidR="00F522AF" w:rsidRPr="007B1766" w:rsidRDefault="00F522AF" w:rsidP="00F522AF">
      <w:pPr>
        <w:pStyle w:val="Abstract"/>
        <w:rPr>
          <w:i/>
          <w:iCs/>
        </w:rPr>
      </w:pPr>
      <w:r w:rsidRPr="007B1766">
        <w:rPr>
          <w:i/>
          <w:iCs/>
        </w:rPr>
        <w:t xml:space="preserve">This article offers a reflective twenty-year analytical review capturing the operation of IP Wales as an award-winning SME business support initiative, instrument for </w:t>
      </w:r>
      <w:r>
        <w:rPr>
          <w:i/>
          <w:iCs/>
        </w:rPr>
        <w:t xml:space="preserve">law </w:t>
      </w:r>
      <w:r w:rsidRPr="007B1766">
        <w:rPr>
          <w:i/>
          <w:iCs/>
        </w:rPr>
        <w:t xml:space="preserve">postgraduate curriculum development and catalyst for contemporary </w:t>
      </w:r>
      <w:r>
        <w:rPr>
          <w:i/>
          <w:iCs/>
        </w:rPr>
        <w:t xml:space="preserve">legal </w:t>
      </w:r>
      <w:r w:rsidRPr="007B1766">
        <w:rPr>
          <w:i/>
          <w:iCs/>
        </w:rPr>
        <w:t>research into intellectual property law and cybersecurity</w:t>
      </w: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27590C" w:rsidRDefault="0027590C" w:rsidP="0027590C"/>
    <w:p w:rsidR="0027590C" w:rsidRDefault="0027590C" w:rsidP="0027590C"/>
    <w:p w:rsidR="0027590C" w:rsidRPr="0027590C" w:rsidRDefault="0027590C" w:rsidP="0027590C"/>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p>
    <w:p w:rsidR="00F522AF" w:rsidRDefault="00F522AF" w:rsidP="00F522AF">
      <w:pPr>
        <w:pStyle w:val="Acknowledgements"/>
      </w:pPr>
      <w:r>
        <w:t>__________________________________________________________________________________</w:t>
      </w:r>
    </w:p>
    <w:p w:rsidR="00F522AF" w:rsidRDefault="00F522AF" w:rsidP="00F522AF">
      <w:pPr>
        <w:pStyle w:val="Acknowledgements"/>
      </w:pPr>
      <w:r w:rsidRPr="0033740F">
        <w:rPr>
          <w:rFonts w:hint="cs"/>
        </w:rPr>
        <w:t xml:space="preserve">The author would like to express </w:t>
      </w:r>
      <w:r>
        <w:t>his</w:t>
      </w:r>
      <w:r w:rsidRPr="0033740F">
        <w:rPr>
          <w:rFonts w:hint="cs"/>
        </w:rPr>
        <w:t xml:space="preserve"> thanks </w:t>
      </w:r>
      <w:r>
        <w:t>t</w:t>
      </w:r>
      <w:r w:rsidRPr="0033740F">
        <w:rPr>
          <w:rFonts w:hint="cs"/>
        </w:rPr>
        <w:t>o Professor</w:t>
      </w:r>
      <w:r>
        <w:t xml:space="preserve"> </w:t>
      </w:r>
      <w:proofErr w:type="spellStart"/>
      <w:r w:rsidRPr="00F738DF">
        <w:rPr>
          <w:rFonts w:hint="cs"/>
        </w:rPr>
        <w:t>Barış</w:t>
      </w:r>
      <w:proofErr w:type="spellEnd"/>
      <w:r w:rsidRPr="00F738DF">
        <w:t xml:space="preserve"> </w:t>
      </w:r>
      <w:proofErr w:type="spellStart"/>
      <w:r w:rsidRPr="0033740F">
        <w:rPr>
          <w:color w:val="000000"/>
        </w:rPr>
        <w:t>Soyer</w:t>
      </w:r>
      <w:proofErr w:type="spellEnd"/>
      <w:r w:rsidRPr="0033740F">
        <w:rPr>
          <w:color w:val="000000"/>
        </w:rPr>
        <w:t xml:space="preserve"> </w:t>
      </w:r>
      <w:r w:rsidRPr="0033740F">
        <w:rPr>
          <w:rFonts w:hint="cs"/>
        </w:rPr>
        <w:t xml:space="preserve">and Professor Andrew </w:t>
      </w:r>
      <w:proofErr w:type="spellStart"/>
      <w:r w:rsidRPr="0033740F">
        <w:rPr>
          <w:rFonts w:hint="cs"/>
        </w:rPr>
        <w:t>Tettenborn</w:t>
      </w:r>
      <w:proofErr w:type="spellEnd"/>
      <w:r w:rsidRPr="0033740F">
        <w:rPr>
          <w:rFonts w:hint="cs"/>
        </w:rPr>
        <w:t xml:space="preserve"> for their comments on the working draft, any errors herein remain those of the author</w:t>
      </w:r>
    </w:p>
    <w:p w:rsidR="00CB598B" w:rsidRPr="00EE64BE" w:rsidRDefault="00CB598B" w:rsidP="00F522AF">
      <w:pPr>
        <w:pStyle w:val="Heading1"/>
        <w:rPr>
          <w:rFonts w:cs="Times New Roman"/>
          <w:sz w:val="22"/>
          <w:szCs w:val="24"/>
        </w:rPr>
      </w:pPr>
      <w:r w:rsidRPr="00CB598B">
        <w:lastRenderedPageBreak/>
        <w:t xml:space="preserve">Introduction </w:t>
      </w:r>
    </w:p>
    <w:p w:rsidR="00ED7983" w:rsidRDefault="00DA60F9" w:rsidP="00F522AF">
      <w:pPr>
        <w:pStyle w:val="Paragraph"/>
        <w:spacing w:line="360" w:lineRule="auto"/>
      </w:pPr>
      <w:r>
        <w:t xml:space="preserve">The three distinct yet kindred </w:t>
      </w:r>
      <w:r w:rsidR="00A310FE">
        <w:t xml:space="preserve">outputs from </w:t>
      </w:r>
      <w:r>
        <w:t xml:space="preserve">higher education </w:t>
      </w:r>
      <w:r w:rsidR="00A310FE">
        <w:t xml:space="preserve">institutions </w:t>
      </w:r>
      <w:r w:rsidR="006303CB">
        <w:t xml:space="preserve">(HEIs) </w:t>
      </w:r>
      <w:r w:rsidR="008B6993">
        <w:t xml:space="preserve">in the UK </w:t>
      </w:r>
      <w:r>
        <w:t>are</w:t>
      </w:r>
      <w:r w:rsidR="00A310FE">
        <w:t>:</w:t>
      </w:r>
      <w:r>
        <w:t xml:space="preserve"> research, teaching and</w:t>
      </w:r>
      <w:r w:rsidR="00A310FE">
        <w:t xml:space="preserve"> - often forgotten - </w:t>
      </w:r>
      <w:r>
        <w:t>third mission</w:t>
      </w:r>
      <w:r w:rsidR="00DA6B42">
        <w:t xml:space="preserve"> activities</w:t>
      </w:r>
      <w:r w:rsidR="00EE64BE">
        <w:rPr>
          <w:rStyle w:val="FootnoteReference"/>
        </w:rPr>
        <w:footnoteReference w:id="1"/>
      </w:r>
      <w:r w:rsidR="00754488">
        <w:t>, sometimes</w:t>
      </w:r>
      <w:r w:rsidR="0016399D">
        <w:t xml:space="preserve"> </w:t>
      </w:r>
      <w:r w:rsidR="00754488">
        <w:t xml:space="preserve">referred to </w:t>
      </w:r>
      <w:r w:rsidR="006C7B27">
        <w:t xml:space="preserve">simply </w:t>
      </w:r>
      <w:r w:rsidR="00754488">
        <w:t xml:space="preserve">as </w:t>
      </w:r>
      <w:r w:rsidR="006C7B27">
        <w:t>“</w:t>
      </w:r>
      <w:r w:rsidR="00754488">
        <w:t>innovation</w:t>
      </w:r>
      <w:r w:rsidR="006C7B27">
        <w:t>”</w:t>
      </w:r>
      <w:r w:rsidR="00754488">
        <w:t>.</w:t>
      </w:r>
      <w:r>
        <w:t xml:space="preserve"> </w:t>
      </w:r>
      <w:r w:rsidR="00414755">
        <w:t xml:space="preserve">The last of these includes </w:t>
      </w:r>
      <w:r>
        <w:t>IP Wales</w:t>
      </w:r>
      <w:r w:rsidR="00414755">
        <w:t>,</w:t>
      </w:r>
      <w:r>
        <w:t xml:space="preserve"> a £4m initiative </w:t>
      </w:r>
      <w:r w:rsidR="008E4647">
        <w:t>operating</w:t>
      </w:r>
      <w:r>
        <w:t xml:space="preserve"> out of what </w:t>
      </w:r>
      <w:r w:rsidR="00414755">
        <w:t>is now</w:t>
      </w:r>
      <w:r>
        <w:t xml:space="preserve"> the </w:t>
      </w:r>
      <w:r w:rsidRPr="00F522AF">
        <w:t>Hillary Rodham Clinton School of Law</w:t>
      </w:r>
      <w:r>
        <w:t xml:space="preserve"> at </w:t>
      </w:r>
      <w:r w:rsidRPr="00F522AF">
        <w:t>Swansea</w:t>
      </w:r>
      <w:r>
        <w:t xml:space="preserve"> University</w:t>
      </w:r>
      <w:r w:rsidR="002845F8">
        <w:t>, in Wales, a part of the United Kingdom.</w:t>
      </w:r>
      <w:r w:rsidR="008E4647">
        <w:t xml:space="preserve"> </w:t>
      </w:r>
      <w:r w:rsidR="006303CB">
        <w:t xml:space="preserve">This initiative </w:t>
      </w:r>
      <w:r>
        <w:t xml:space="preserve">started life twenty years ago as a third mission activity supporting indigenous </w:t>
      </w:r>
      <w:r w:rsidR="002406EA">
        <w:t>small to medium enterprises (</w:t>
      </w:r>
      <w:r w:rsidR="00BF1B9D">
        <w:t>SMEs</w:t>
      </w:r>
      <w:r w:rsidR="002406EA">
        <w:t>)</w:t>
      </w:r>
      <w:r w:rsidR="006303CB">
        <w:t>; it has since</w:t>
      </w:r>
      <w:r>
        <w:t xml:space="preserve"> evolved</w:t>
      </w:r>
      <w:r w:rsidR="00DA6B42">
        <w:t xml:space="preserve"> into </w:t>
      </w:r>
      <w:r w:rsidR="005C5AB1">
        <w:t xml:space="preserve">an instrument </w:t>
      </w:r>
      <w:r w:rsidR="006303CB">
        <w:t>closely involved with developing the</w:t>
      </w:r>
      <w:r w:rsidR="005C5AB1">
        <w:t xml:space="preserve"> </w:t>
      </w:r>
      <w:r w:rsidR="004E59F2">
        <w:t xml:space="preserve">postgraduate </w:t>
      </w:r>
      <w:r w:rsidR="005C5AB1">
        <w:t xml:space="preserve">curriculum </w:t>
      </w:r>
      <w:r w:rsidR="006303CB">
        <w:t xml:space="preserve">to support SMEs, </w:t>
      </w:r>
      <w:r w:rsidR="005C5AB1">
        <w:t xml:space="preserve">and </w:t>
      </w:r>
      <w:r w:rsidR="006303CB">
        <w:t xml:space="preserve">with the same end has also begun selectively to promote </w:t>
      </w:r>
      <w:r w:rsidR="00DA6B42">
        <w:t xml:space="preserve">contemporary research into </w:t>
      </w:r>
      <w:r w:rsidR="00754488">
        <w:t xml:space="preserve">the evolving relationship between </w:t>
      </w:r>
      <w:r w:rsidR="00DA6B42">
        <w:t xml:space="preserve">intellectual property </w:t>
      </w:r>
      <w:r w:rsidR="005224F1">
        <w:t xml:space="preserve">(IP) </w:t>
      </w:r>
      <w:r w:rsidR="0016399D">
        <w:t xml:space="preserve">law </w:t>
      </w:r>
      <w:r w:rsidR="00DA6B42">
        <w:t>and cybersecurity.</w:t>
      </w:r>
    </w:p>
    <w:p w:rsidR="00EE64BE" w:rsidRDefault="00DA6B42" w:rsidP="00F522AF">
      <w:pPr>
        <w:pStyle w:val="Newparagraph"/>
        <w:spacing w:line="360" w:lineRule="auto"/>
      </w:pPr>
      <w:r>
        <w:t xml:space="preserve">The theoretical underpinning </w:t>
      </w:r>
      <w:r w:rsidR="00047EF4">
        <w:t>for</w:t>
      </w:r>
      <w:r>
        <w:t xml:space="preserve"> IP Wales </w:t>
      </w:r>
      <w:r w:rsidR="009C3616">
        <w:t xml:space="preserve">as a SME business support initiative </w:t>
      </w:r>
      <w:r>
        <w:t xml:space="preserve">came from the work of </w:t>
      </w:r>
      <w:r w:rsidR="0004749A">
        <w:t xml:space="preserve">the </w:t>
      </w:r>
      <w:r w:rsidR="004527F7">
        <w:t>Berkeley academic Professor Henry Chesbrough</w:t>
      </w:r>
      <w:r w:rsidR="00231A0A">
        <w:t>.</w:t>
      </w:r>
      <w:r w:rsidR="00EE64BE">
        <w:rPr>
          <w:rStyle w:val="FootnoteReference"/>
        </w:rPr>
        <w:footnoteReference w:id="2"/>
      </w:r>
      <w:r w:rsidR="00EE64BE">
        <w:rPr>
          <w:rFonts w:cs="Times New Roman (Body CS)"/>
        </w:rPr>
        <w:t xml:space="preserve"> </w:t>
      </w:r>
      <w:r w:rsidR="00EE64BE">
        <w:t xml:space="preserve"> </w:t>
      </w:r>
      <w:r w:rsidR="006303CB">
        <w:t xml:space="preserve">His thesis was </w:t>
      </w:r>
      <w:r w:rsidR="004527F7">
        <w:t>that large U</w:t>
      </w:r>
      <w:r w:rsidR="004E59F2">
        <w:t>.</w:t>
      </w:r>
      <w:r w:rsidR="004527F7">
        <w:t>S</w:t>
      </w:r>
      <w:r w:rsidR="004E59F2">
        <w:t>.</w:t>
      </w:r>
      <w:r w:rsidR="004527F7">
        <w:t xml:space="preserve"> corporations were moving towards a more open model of innovating new products and services</w:t>
      </w:r>
      <w:r w:rsidR="007B4A17">
        <w:t>,</w:t>
      </w:r>
      <w:r w:rsidR="004527F7">
        <w:t xml:space="preserve"> by licensing-in expertise and technologies from outside </w:t>
      </w:r>
      <w:r w:rsidR="00E5495A">
        <w:t xml:space="preserve">of </w:t>
      </w:r>
      <w:r w:rsidR="004527F7">
        <w:t>the business to supplement internal research and development activities</w:t>
      </w:r>
      <w:r w:rsidR="00DE03C6">
        <w:t xml:space="preserve">. At the same time Chesbrough observed </w:t>
      </w:r>
      <w:r w:rsidR="006303CB">
        <w:t>those same</w:t>
      </w:r>
      <w:r w:rsidR="00E91F8A">
        <w:t xml:space="preserve"> </w:t>
      </w:r>
      <w:r w:rsidR="00DE03C6">
        <w:t>corporations</w:t>
      </w:r>
      <w:r w:rsidR="004527F7">
        <w:t xml:space="preserve"> </w:t>
      </w:r>
      <w:r w:rsidR="00DE03C6">
        <w:t>were</w:t>
      </w:r>
      <w:r w:rsidR="004527F7">
        <w:t xml:space="preserve"> </w:t>
      </w:r>
      <w:r w:rsidR="006303CB">
        <w:t xml:space="preserve">increasingly </w:t>
      </w:r>
      <w:r w:rsidR="004527F7">
        <w:t xml:space="preserve">licensing-out </w:t>
      </w:r>
      <w:r w:rsidR="006303CB">
        <w:t xml:space="preserve">their own </w:t>
      </w:r>
      <w:r w:rsidR="00912602">
        <w:t>underutilized</w:t>
      </w:r>
      <w:r w:rsidR="004527F7">
        <w:t xml:space="preserve"> intellectual assets to </w:t>
      </w:r>
      <w:r w:rsidR="006303CB">
        <w:t>other</w:t>
      </w:r>
      <w:r w:rsidR="004527F7">
        <w:t xml:space="preserve"> complementary business partners</w:t>
      </w:r>
      <w:r w:rsidR="009C3616">
        <w:t>,</w:t>
      </w:r>
      <w:r w:rsidR="004527F7">
        <w:t xml:space="preserve"> or otherwise</w:t>
      </w:r>
      <w:r w:rsidR="0004749A">
        <w:t xml:space="preserve"> spinning-out new business entities or </w:t>
      </w:r>
      <w:r w:rsidR="006303CB">
        <w:t xml:space="preserve">their technologies to </w:t>
      </w:r>
      <w:r w:rsidR="0004749A">
        <w:t>market</w:t>
      </w:r>
      <w:r w:rsidR="00047EF4">
        <w:t xml:space="preserve"> sectors</w:t>
      </w:r>
      <w:r w:rsidR="006303CB">
        <w:t xml:space="preserve"> not in direct competition</w:t>
      </w:r>
      <w:r w:rsidR="00DE03C6">
        <w:t>.</w:t>
      </w:r>
      <w:r w:rsidR="0004749A">
        <w:t xml:space="preserve"> Nobody </w:t>
      </w:r>
      <w:r w:rsidR="00CB47A2">
        <w:t xml:space="preserve">had </w:t>
      </w:r>
      <w:r w:rsidR="0004749A">
        <w:t xml:space="preserve">experienced the rebuttal of </w:t>
      </w:r>
      <w:r w:rsidR="007B2B1C">
        <w:t>an</w:t>
      </w:r>
      <w:r w:rsidR="0004749A">
        <w:t xml:space="preserve"> unsolicited business enquiry </w:t>
      </w:r>
      <w:r w:rsidR="00986142">
        <w:t>to</w:t>
      </w:r>
      <w:r w:rsidR="0004749A">
        <w:t xml:space="preserve"> a larger corporation more than </w:t>
      </w:r>
      <w:r w:rsidR="004E59F2">
        <w:t xml:space="preserve">the </w:t>
      </w:r>
      <w:r w:rsidR="0004749A">
        <w:t>SME</w:t>
      </w:r>
      <w:r w:rsidR="00CB598B">
        <w:t>,</w:t>
      </w:r>
      <w:r w:rsidR="0004749A">
        <w:t xml:space="preserve"> so the</w:t>
      </w:r>
      <w:r w:rsidR="00986142">
        <w:t xml:space="preserve">re was </w:t>
      </w:r>
      <w:r w:rsidR="00CB47A2">
        <w:t xml:space="preserve">great optimism </w:t>
      </w:r>
      <w:r w:rsidR="00E91F8A">
        <w:t xml:space="preserve">that </w:t>
      </w:r>
      <w:r w:rsidR="00986142">
        <w:t>this</w:t>
      </w:r>
      <w:r w:rsidR="007B2B1C">
        <w:t xml:space="preserve"> </w:t>
      </w:r>
      <w:r w:rsidR="0023074B">
        <w:t>“</w:t>
      </w:r>
      <w:r w:rsidR="0004749A">
        <w:t>open innovation</w:t>
      </w:r>
      <w:r w:rsidR="0023074B">
        <w:t>”</w:t>
      </w:r>
      <w:r w:rsidR="0004749A">
        <w:t xml:space="preserve"> </w:t>
      </w:r>
      <w:r w:rsidR="007B2B1C">
        <w:t xml:space="preserve">model </w:t>
      </w:r>
      <w:r w:rsidR="00CB47A2">
        <w:t xml:space="preserve">would help </w:t>
      </w:r>
      <w:r w:rsidR="0004749A">
        <w:t>SME driven econom</w:t>
      </w:r>
      <w:r w:rsidR="00CB47A2">
        <w:t>ies</w:t>
      </w:r>
      <w:r w:rsidR="0004749A">
        <w:t xml:space="preserve"> </w:t>
      </w:r>
      <w:r w:rsidR="00A4165F">
        <w:t>such as</w:t>
      </w:r>
      <w:r w:rsidR="0004749A">
        <w:t xml:space="preserve"> Wales, </w:t>
      </w:r>
      <w:r w:rsidR="004E59F2">
        <w:t>with</w:t>
      </w:r>
      <w:r w:rsidR="0004749A">
        <w:t xml:space="preserve"> 99</w:t>
      </w:r>
      <w:r w:rsidR="00791313">
        <w:t xml:space="preserve"> percent</w:t>
      </w:r>
      <w:r w:rsidR="0004749A">
        <w:t xml:space="preserve"> of its businesses within th</w:t>
      </w:r>
      <w:r w:rsidR="00986142">
        <w:t>e</w:t>
      </w:r>
      <w:r w:rsidR="0004749A">
        <w:t xml:space="preserve"> </w:t>
      </w:r>
      <w:r w:rsidR="007B2B1C">
        <w:t xml:space="preserve">SME </w:t>
      </w:r>
      <w:r w:rsidR="0004749A">
        <w:t xml:space="preserve">category </w:t>
      </w:r>
      <w:r w:rsidR="00FA3FA3">
        <w:t xml:space="preserve">and </w:t>
      </w:r>
      <w:r w:rsidR="0004749A">
        <w:t>95</w:t>
      </w:r>
      <w:r w:rsidR="00791313">
        <w:t xml:space="preserve"> percent</w:t>
      </w:r>
      <w:r w:rsidR="0004749A">
        <w:t xml:space="preserve"> of those at the </w:t>
      </w:r>
      <w:r w:rsidR="00A4165F">
        <w:t>micro</w:t>
      </w:r>
      <w:r w:rsidR="0004749A">
        <w:t xml:space="preserve"> </w:t>
      </w:r>
      <w:r w:rsidR="00E91F8A">
        <w:t xml:space="preserve">end of the </w:t>
      </w:r>
      <w:r w:rsidR="0004749A">
        <w:t xml:space="preserve">scale </w:t>
      </w:r>
      <w:r w:rsidR="00E91F8A">
        <w:t>with</w:t>
      </w:r>
      <w:r w:rsidR="0004749A">
        <w:t xml:space="preserve"> less than ten employees</w:t>
      </w:r>
      <w:r w:rsidR="005224F1">
        <w:t>,</w:t>
      </w:r>
      <w:r w:rsidR="00EE64BE">
        <w:rPr>
          <w:rStyle w:val="FootnoteReference"/>
        </w:rPr>
        <w:footnoteReference w:id="3"/>
      </w:r>
      <w:r w:rsidR="00EE64BE">
        <w:t xml:space="preserve"> </w:t>
      </w:r>
      <w:r w:rsidR="00BD4E75">
        <w:t>offering</w:t>
      </w:r>
      <w:r w:rsidR="0004749A">
        <w:t xml:space="preserve"> major new</w:t>
      </w:r>
      <w:r w:rsidR="007B2B1C">
        <w:t xml:space="preserve"> </w:t>
      </w:r>
      <w:r w:rsidR="0004749A">
        <w:t>licensing opportunities</w:t>
      </w:r>
      <w:r w:rsidR="004A2BEA">
        <w:t xml:space="preserve"> for the indigenous SME sector</w:t>
      </w:r>
      <w:r w:rsidR="0004749A">
        <w:t>.</w:t>
      </w:r>
    </w:p>
    <w:p w:rsidR="00047EF4" w:rsidRPr="00EE64BE" w:rsidRDefault="000679E6" w:rsidP="00F522AF">
      <w:pPr>
        <w:pStyle w:val="Heading1"/>
      </w:pPr>
      <w:r w:rsidRPr="00CB598B">
        <w:t>Third Mission</w:t>
      </w:r>
    </w:p>
    <w:p w:rsidR="000679E6" w:rsidRPr="005D6AAA" w:rsidRDefault="000679E6" w:rsidP="00F522AF">
      <w:pPr>
        <w:pStyle w:val="Paragraph"/>
        <w:spacing w:line="360" w:lineRule="auto"/>
      </w:pPr>
      <w:r>
        <w:t xml:space="preserve">In their work, </w:t>
      </w:r>
      <w:r w:rsidR="00652666" w:rsidRPr="009C3616">
        <w:rPr>
          <w:i/>
          <w:iCs/>
        </w:rPr>
        <w:t>t</w:t>
      </w:r>
      <w:r w:rsidRPr="009C3616">
        <w:rPr>
          <w:i/>
          <w:iCs/>
        </w:rPr>
        <w:t xml:space="preserve">he third mission of universities: </w:t>
      </w:r>
      <w:r w:rsidR="00652666" w:rsidRPr="009C3616">
        <w:rPr>
          <w:i/>
          <w:iCs/>
        </w:rPr>
        <w:t>a</w:t>
      </w:r>
      <w:r w:rsidRPr="009C3616">
        <w:rPr>
          <w:i/>
          <w:iCs/>
        </w:rPr>
        <w:t>n investigation of the espoused value</w:t>
      </w:r>
      <w:r w:rsidR="00FA3FA3" w:rsidRPr="009C3616">
        <w:rPr>
          <w:i/>
          <w:iCs/>
        </w:rPr>
        <w:t>s</w:t>
      </w:r>
      <w:r w:rsidR="00FA3FA3">
        <w:rPr>
          <w:i/>
          <w:iCs/>
        </w:rPr>
        <w:t xml:space="preserve"> </w:t>
      </w:r>
      <w:r w:rsidR="0019666B">
        <w:t>Loi and Guardo note, “</w:t>
      </w:r>
      <w:r w:rsidR="006303CB">
        <w:t>[A]</w:t>
      </w:r>
      <w:r w:rsidR="0019666B" w:rsidRPr="00BC6933">
        <w:t xml:space="preserve">n invisible revolution, known as the third mission, is claimed to be </w:t>
      </w:r>
      <w:r w:rsidR="0019666B" w:rsidRPr="00BC6933">
        <w:lastRenderedPageBreak/>
        <w:t>occurring within universities. Accordingly, the canonical missions associated with research and teaching have been integrated with the one aimed at territorial development. But do all universities conceive the third mission in the same way?</w:t>
      </w:r>
      <w:r w:rsidR="0019666B">
        <w:t>”</w:t>
      </w:r>
      <w:r w:rsidR="0050478D">
        <w:t>.</w:t>
      </w:r>
      <w:r w:rsidR="00EE64BE">
        <w:rPr>
          <w:rStyle w:val="FootnoteReference"/>
        </w:rPr>
        <w:footnoteReference w:id="4"/>
      </w:r>
      <w:r w:rsidR="00CB598B">
        <w:t xml:space="preserve"> </w:t>
      </w:r>
      <w:r w:rsidR="007B2B1C">
        <w:t xml:space="preserve">In </w:t>
      </w:r>
      <w:r w:rsidR="0015672E">
        <w:t>recogni</w:t>
      </w:r>
      <w:r w:rsidR="007B2B1C">
        <w:t>tion of the</w:t>
      </w:r>
      <w:r w:rsidR="0015672E">
        <w:t xml:space="preserve"> Welsh Government and E</w:t>
      </w:r>
      <w:r w:rsidR="005B0245">
        <w:t xml:space="preserve">uropean </w:t>
      </w:r>
      <w:r w:rsidR="0015672E">
        <w:t>U</w:t>
      </w:r>
      <w:r w:rsidR="005B0245">
        <w:t>nion</w:t>
      </w:r>
      <w:r w:rsidR="0015672E">
        <w:t xml:space="preserve"> </w:t>
      </w:r>
      <w:r w:rsidR="007B2B1C">
        <w:t>being</w:t>
      </w:r>
      <w:r w:rsidR="00BA1DF0">
        <w:t xml:space="preserve"> </w:t>
      </w:r>
      <w:r w:rsidR="00DA00E4">
        <w:t xml:space="preserve">the significant </w:t>
      </w:r>
      <w:r w:rsidR="0015672E">
        <w:t>grant providers</w:t>
      </w:r>
      <w:r w:rsidR="002B4838">
        <w:t>,</w:t>
      </w:r>
      <w:r w:rsidR="0015672E">
        <w:t xml:space="preserve"> the default position adopted by IP Wales was to align itself</w:t>
      </w:r>
      <w:r w:rsidR="009C3616">
        <w:t xml:space="preserve"> </w:t>
      </w:r>
      <w:r w:rsidR="0015672E">
        <w:t>as an instrument of economic development for the Welsh region</w:t>
      </w:r>
      <w:r w:rsidR="00F24768">
        <w:t>.</w:t>
      </w:r>
      <w:r w:rsidR="00EE64BE">
        <w:rPr>
          <w:rStyle w:val="FootnoteReference"/>
        </w:rPr>
        <w:footnoteReference w:id="5"/>
      </w:r>
      <w:r w:rsidR="0015672E">
        <w:t xml:space="preserve"> This </w:t>
      </w:r>
      <w:r w:rsidR="001C00E6">
        <w:t>somewhat limited focus</w:t>
      </w:r>
      <w:r w:rsidR="002B4838">
        <w:t xml:space="preserve"> was</w:t>
      </w:r>
      <w:r w:rsidR="00DA00E4">
        <w:t xml:space="preserve">, however, rightly </w:t>
      </w:r>
      <w:r w:rsidR="002B4838">
        <w:t xml:space="preserve">challenged by </w:t>
      </w:r>
      <w:r w:rsidR="00B75BBC">
        <w:t>the</w:t>
      </w:r>
      <w:r w:rsidR="002B4838">
        <w:t xml:space="preserve"> Chairman</w:t>
      </w:r>
      <w:r w:rsidR="005D6AAA">
        <w:t xml:space="preserve"> </w:t>
      </w:r>
      <w:r w:rsidR="002809BC">
        <w:t xml:space="preserve">of IP Wales </w:t>
      </w:r>
      <w:r w:rsidR="005D6AAA">
        <w:t xml:space="preserve">at </w:t>
      </w:r>
      <w:r w:rsidR="00DA00E4">
        <w:t>its</w:t>
      </w:r>
      <w:r w:rsidR="005D6AAA">
        <w:t xml:space="preserve"> inaugural Board </w:t>
      </w:r>
      <w:r w:rsidR="002809BC">
        <w:t>meeting</w:t>
      </w:r>
      <w:r w:rsidR="00DA00E4">
        <w:t>.</w:t>
      </w:r>
      <w:r w:rsidR="005D6AAA">
        <w:t xml:space="preserve"> “</w:t>
      </w:r>
      <w:r w:rsidR="00DA00E4">
        <w:t>N</w:t>
      </w:r>
      <w:r w:rsidR="005D6AAA">
        <w:t>either governments nor development agencies</w:t>
      </w:r>
      <w:r w:rsidR="00DA00E4">
        <w:t>,”</w:t>
      </w:r>
      <w:r w:rsidR="005D6AAA">
        <w:t xml:space="preserve"> </w:t>
      </w:r>
      <w:r w:rsidR="00DA00E4">
        <w:t>he said, “</w:t>
      </w:r>
      <w:r w:rsidR="005D6AAA">
        <w:t>generate economic prosperity, only businesses can do that</w:t>
      </w:r>
      <w:r w:rsidR="008E749B">
        <w:t>”</w:t>
      </w:r>
      <w:r w:rsidR="005D6AAA">
        <w:t>.</w:t>
      </w:r>
      <w:r w:rsidR="00EE64BE">
        <w:rPr>
          <w:rStyle w:val="FootnoteReference"/>
        </w:rPr>
        <w:footnoteReference w:id="6"/>
      </w:r>
      <w:r w:rsidR="00EE64BE">
        <w:t xml:space="preserve"> </w:t>
      </w:r>
      <w:r w:rsidR="005D6AAA">
        <w:t xml:space="preserve">The immediate impact was </w:t>
      </w:r>
      <w:r w:rsidR="00DA00E4">
        <w:t xml:space="preserve">notable. Not only were </w:t>
      </w:r>
      <w:r w:rsidR="005D6AAA">
        <w:t xml:space="preserve">new SME representatives </w:t>
      </w:r>
      <w:r w:rsidR="00DA00E4">
        <w:t xml:space="preserve">co-opted </w:t>
      </w:r>
      <w:r w:rsidR="005D6AAA">
        <w:t>on</w:t>
      </w:r>
      <w:r w:rsidR="00DA00E4">
        <w:t>to</w:t>
      </w:r>
      <w:r w:rsidR="005D6AAA">
        <w:t xml:space="preserve"> the IP Wales Board</w:t>
      </w:r>
      <w:r w:rsidR="00A4165F">
        <w:t>,</w:t>
      </w:r>
      <w:r w:rsidR="005D6AAA">
        <w:t xml:space="preserve"> but the awareness raising </w:t>
      </w:r>
      <w:r w:rsidR="00161869">
        <w:t>aim</w:t>
      </w:r>
      <w:r w:rsidR="005D6AAA">
        <w:t xml:space="preserve"> of </w:t>
      </w:r>
      <w:r w:rsidR="00E91F8A">
        <w:t>the initiative</w:t>
      </w:r>
      <w:r w:rsidR="005D6AAA">
        <w:t xml:space="preserve"> </w:t>
      </w:r>
      <w:r w:rsidR="00DA00E4">
        <w:t xml:space="preserve">was quickly </w:t>
      </w:r>
      <w:r w:rsidR="005D6AAA">
        <w:t>chang</w:t>
      </w:r>
      <w:r w:rsidR="00DA00E4">
        <w:t>ed from an emphasis on</w:t>
      </w:r>
      <w:r w:rsidR="005D6AAA">
        <w:t xml:space="preserve"> </w:t>
      </w:r>
      <w:r w:rsidR="0023074B">
        <w:t>“</w:t>
      </w:r>
      <w:r w:rsidR="005D6AAA">
        <w:t xml:space="preserve">what </w:t>
      </w:r>
      <w:r w:rsidR="002406EA">
        <w:t xml:space="preserve">intellectual property </w:t>
      </w:r>
      <w:r w:rsidR="005D6AAA">
        <w:t xml:space="preserve">law </w:t>
      </w:r>
      <w:r w:rsidR="005D6AAA" w:rsidRPr="007B4A17">
        <w:rPr>
          <w:b/>
          <w:bCs/>
          <w:i/>
          <w:iCs/>
        </w:rPr>
        <w:t>is</w:t>
      </w:r>
      <w:r w:rsidR="0023074B">
        <w:t>”</w:t>
      </w:r>
      <w:r w:rsidR="00C7074A">
        <w:t>,</w:t>
      </w:r>
      <w:r w:rsidR="005D6AAA">
        <w:t xml:space="preserve"> to </w:t>
      </w:r>
      <w:r w:rsidR="0023074B">
        <w:t>“</w:t>
      </w:r>
      <w:r w:rsidR="005D6AAA">
        <w:t>what IP law</w:t>
      </w:r>
      <w:r w:rsidR="00C51E3D">
        <w:t xml:space="preserve"> can</w:t>
      </w:r>
      <w:r w:rsidR="005D6AAA">
        <w:t xml:space="preserve"> </w:t>
      </w:r>
      <w:r w:rsidR="005D6AAA" w:rsidRPr="007B4A17">
        <w:rPr>
          <w:b/>
          <w:bCs/>
          <w:i/>
          <w:iCs/>
        </w:rPr>
        <w:t>do</w:t>
      </w:r>
      <w:r w:rsidR="0023074B">
        <w:t>”</w:t>
      </w:r>
      <w:r w:rsidR="00C51E3D">
        <w:rPr>
          <w:b/>
          <w:bCs/>
        </w:rPr>
        <w:t xml:space="preserve"> </w:t>
      </w:r>
      <w:r w:rsidR="00C51E3D">
        <w:t>for client SMEs</w:t>
      </w:r>
      <w:r w:rsidR="005D6AAA">
        <w:t xml:space="preserve">. In this regard IP Wales </w:t>
      </w:r>
      <w:r w:rsidR="007A0C57">
        <w:t xml:space="preserve">became indebted to the </w:t>
      </w:r>
      <w:r w:rsidR="005D6AAA">
        <w:t>UK Intellectual Property</w:t>
      </w:r>
      <w:r w:rsidR="00C7074A">
        <w:t xml:space="preserve"> Office </w:t>
      </w:r>
      <w:r w:rsidR="00CC3087">
        <w:t xml:space="preserve">(UKIPO) </w:t>
      </w:r>
      <w:r w:rsidR="007A0C57">
        <w:t xml:space="preserve">for </w:t>
      </w:r>
      <w:r w:rsidR="00DA00E4">
        <w:t xml:space="preserve">both </w:t>
      </w:r>
      <w:r w:rsidR="00C7074A">
        <w:t>second</w:t>
      </w:r>
      <w:r w:rsidR="007A0C57">
        <w:t>ing</w:t>
      </w:r>
      <w:r w:rsidR="00C7074A">
        <w:t xml:space="preserve"> </w:t>
      </w:r>
      <w:r w:rsidR="008C51A0">
        <w:t>full</w:t>
      </w:r>
      <w:r w:rsidR="00DA00E4">
        <w:t>-</w:t>
      </w:r>
      <w:r w:rsidR="008C51A0">
        <w:t xml:space="preserve">time </w:t>
      </w:r>
      <w:r w:rsidR="00C7074A">
        <w:t xml:space="preserve">staff to </w:t>
      </w:r>
      <w:r w:rsidR="00E91F8A">
        <w:t>the initiative</w:t>
      </w:r>
      <w:r w:rsidR="008C51A0">
        <w:t>,</w:t>
      </w:r>
      <w:r w:rsidR="00C7074A">
        <w:t xml:space="preserve"> </w:t>
      </w:r>
      <w:r w:rsidR="00DA00E4">
        <w:t xml:space="preserve">and </w:t>
      </w:r>
      <w:r w:rsidR="00C7074A">
        <w:t>also train</w:t>
      </w:r>
      <w:r w:rsidR="007A0C57">
        <w:t>ing</w:t>
      </w:r>
      <w:r w:rsidR="00C7074A">
        <w:t xml:space="preserve"> its business background field officers </w:t>
      </w:r>
      <w:r w:rsidR="00DA00E4">
        <w:t xml:space="preserve">thoroughly </w:t>
      </w:r>
      <w:r w:rsidR="00C7074A">
        <w:t xml:space="preserve">in </w:t>
      </w:r>
      <w:r w:rsidR="002845F8">
        <w:t xml:space="preserve">UK </w:t>
      </w:r>
      <w:r w:rsidR="00C7074A">
        <w:t>intellectual property law.</w:t>
      </w:r>
    </w:p>
    <w:p w:rsidR="00437FDE" w:rsidRPr="00437FDE" w:rsidRDefault="00437FDE" w:rsidP="00F522AF">
      <w:pPr>
        <w:pStyle w:val="Newparagraph"/>
        <w:spacing w:line="360" w:lineRule="auto"/>
      </w:pPr>
      <w:r>
        <w:t xml:space="preserve">During this </w:t>
      </w:r>
      <w:r w:rsidRPr="00437FDE">
        <w:t>first phase of European Union funded</w:t>
      </w:r>
      <w:r w:rsidR="00EE64BE">
        <w:rPr>
          <w:rStyle w:val="FootnoteReference"/>
        </w:rPr>
        <w:footnoteReference w:id="7"/>
      </w:r>
      <w:r w:rsidR="007A0C57">
        <w:t xml:space="preserve"> operation</w:t>
      </w:r>
      <w:r>
        <w:t xml:space="preserve"> IP Wales</w:t>
      </w:r>
      <w:r w:rsidR="00DA00E4">
        <w:t>’s</w:t>
      </w:r>
      <w:r w:rsidRPr="00437FDE">
        <w:t xml:space="preserve"> mission was to provide Welsh SMEs</w:t>
      </w:r>
      <w:r w:rsidR="004E59F2">
        <w:t xml:space="preserve"> </w:t>
      </w:r>
      <w:r w:rsidRPr="00437FDE">
        <w:t xml:space="preserve">with the knowledge and financial </w:t>
      </w:r>
      <w:r w:rsidR="00DA00E4">
        <w:t>acumen</w:t>
      </w:r>
      <w:r w:rsidRPr="00437FDE">
        <w:t xml:space="preserve"> to </w:t>
      </w:r>
      <w:r w:rsidR="00912602" w:rsidRPr="00437FDE">
        <w:t>commercialize</w:t>
      </w:r>
      <w:r w:rsidRPr="00437FDE">
        <w:t xml:space="preserve"> their intellectual assets. </w:t>
      </w:r>
      <w:r>
        <w:t>The</w:t>
      </w:r>
      <w:r w:rsidRPr="00437FDE">
        <w:t xml:space="preserve"> aim was to raise levels of awareness and understanding of intellectual assets</w:t>
      </w:r>
      <w:r w:rsidR="00B75068">
        <w:t>;</w:t>
      </w:r>
      <w:r w:rsidRPr="00437FDE">
        <w:t xml:space="preserve"> </w:t>
      </w:r>
      <w:r w:rsidR="00B75068">
        <w:t xml:space="preserve">to </w:t>
      </w:r>
      <w:r w:rsidRPr="00437FDE">
        <w:t xml:space="preserve">allow businesses to make informed choices about </w:t>
      </w:r>
      <w:r w:rsidR="00DA00E4">
        <w:t xml:space="preserve">how to </w:t>
      </w:r>
      <w:r w:rsidRPr="00437FDE">
        <w:t>protect th</w:t>
      </w:r>
      <w:r w:rsidR="00B75068">
        <w:t>o</w:t>
      </w:r>
      <w:r w:rsidRPr="00437FDE">
        <w:t>se assets</w:t>
      </w:r>
      <w:r w:rsidR="00B75068">
        <w:t>;</w:t>
      </w:r>
      <w:r w:rsidRPr="00437FDE">
        <w:t xml:space="preserve"> and to help Welsh SMEs sustain and grow their businesses, by integrating an intellectual assets strategy into the heart of their business plan. </w:t>
      </w:r>
      <w:r>
        <w:t>Operating as a web</w:t>
      </w:r>
      <w:r w:rsidR="007D7481">
        <w:t>-</w:t>
      </w:r>
      <w:r>
        <w:t xml:space="preserve">based initiative IP Wales field officers </w:t>
      </w:r>
      <w:r w:rsidRPr="00437FDE">
        <w:t>provid</w:t>
      </w:r>
      <w:r>
        <w:t>ed</w:t>
      </w:r>
      <w:r w:rsidRPr="00437FDE">
        <w:t xml:space="preserve"> strategic </w:t>
      </w:r>
      <w:r>
        <w:t xml:space="preserve">IP </w:t>
      </w:r>
      <w:r w:rsidRPr="00437FDE">
        <w:t xml:space="preserve">advice to over 750 </w:t>
      </w:r>
      <w:r>
        <w:t xml:space="preserve">SME </w:t>
      </w:r>
      <w:r w:rsidRPr="00437FDE">
        <w:t>clients</w:t>
      </w:r>
      <w:r w:rsidR="0074532F">
        <w:t xml:space="preserve"> and</w:t>
      </w:r>
      <w:r w:rsidRPr="00437FDE">
        <w:t xml:space="preserve"> helped</w:t>
      </w:r>
      <w:r w:rsidR="002C491B">
        <w:t>,</w:t>
      </w:r>
      <w:r w:rsidRPr="00437FDE">
        <w:t xml:space="preserve"> </w:t>
      </w:r>
      <w:r w:rsidR="00B75068">
        <w:t xml:space="preserve">through the </w:t>
      </w:r>
      <w:r w:rsidR="0074532F">
        <w:lastRenderedPageBreak/>
        <w:t>provision</w:t>
      </w:r>
      <w:r w:rsidR="00B75068">
        <w:t xml:space="preserve"> of 50</w:t>
      </w:r>
      <w:r w:rsidR="002042B7">
        <w:t xml:space="preserve"> percent</w:t>
      </w:r>
      <w:r w:rsidR="00B75068">
        <w:t xml:space="preserve"> grant assistance</w:t>
      </w:r>
      <w:r w:rsidR="002C491B">
        <w:t>,</w:t>
      </w:r>
      <w:r w:rsidR="00B75068">
        <w:t xml:space="preserve"> to </w:t>
      </w:r>
      <w:r w:rsidRPr="00437FDE">
        <w:t>capture and protect 20</w:t>
      </w:r>
      <w:r w:rsidR="001977A7">
        <w:t>5</w:t>
      </w:r>
      <w:r w:rsidRPr="00437FDE">
        <w:t xml:space="preserve"> patents</w:t>
      </w:r>
      <w:r w:rsidR="00016CF8">
        <w:rPr>
          <w:rStyle w:val="FootnoteReference"/>
        </w:rPr>
        <w:footnoteReference w:id="8"/>
      </w:r>
      <w:r w:rsidRPr="00437FDE">
        <w:t>, 60 trademarks</w:t>
      </w:r>
      <w:r w:rsidR="00016CF8">
        <w:rPr>
          <w:rStyle w:val="FootnoteReference"/>
        </w:rPr>
        <w:footnoteReference w:id="9"/>
      </w:r>
      <w:r w:rsidRPr="00437FDE">
        <w:t xml:space="preserve"> and 12 industrial designs</w:t>
      </w:r>
      <w:r w:rsidR="00016CF8">
        <w:rPr>
          <w:rStyle w:val="FootnoteReference"/>
        </w:rPr>
        <w:footnoteReference w:id="10"/>
      </w:r>
      <w:r w:rsidRPr="00437FDE">
        <w:t xml:space="preserve"> around the </w:t>
      </w:r>
      <w:r w:rsidR="004E59F2">
        <w:t>w</w:t>
      </w:r>
      <w:r w:rsidRPr="00437FDE">
        <w:t>orld.</w:t>
      </w:r>
      <w:r w:rsidR="00D01739">
        <w:t xml:space="preserve"> </w:t>
      </w:r>
      <w:r w:rsidR="00830502">
        <w:t xml:space="preserve">The expectation had been that member SMEs would use </w:t>
      </w:r>
      <w:r w:rsidR="0074532F">
        <w:t>such</w:t>
      </w:r>
      <w:r w:rsidR="00830502">
        <w:t xml:space="preserve"> grants to reduce </w:t>
      </w:r>
      <w:r w:rsidR="00B75068">
        <w:t xml:space="preserve">their </w:t>
      </w:r>
      <w:r w:rsidR="00830502">
        <w:t>filing</w:t>
      </w:r>
      <w:r w:rsidR="002F59F8">
        <w:t>s</w:t>
      </w:r>
      <w:r w:rsidR="007B4A17">
        <w:t xml:space="preserve"> costs</w:t>
      </w:r>
      <w:r w:rsidR="00830502">
        <w:t xml:space="preserve"> in the UK, Europe and USA</w:t>
      </w:r>
      <w:r w:rsidR="00B75068">
        <w:t>;</w:t>
      </w:r>
      <w:r w:rsidR="00830502">
        <w:t xml:space="preserve"> but the IP Wales experience was</w:t>
      </w:r>
      <w:r w:rsidR="00B75068">
        <w:t xml:space="preserve"> the </w:t>
      </w:r>
      <w:r w:rsidR="00830502">
        <w:t xml:space="preserve">financial savings </w:t>
      </w:r>
      <w:r w:rsidR="0074532F">
        <w:t>from</w:t>
      </w:r>
      <w:r w:rsidR="00830502">
        <w:t xml:space="preserve"> </w:t>
      </w:r>
      <w:r w:rsidR="00A4165F">
        <w:t xml:space="preserve">these </w:t>
      </w:r>
      <w:r w:rsidR="00830502">
        <w:t xml:space="preserve">territories were </w:t>
      </w:r>
      <w:r w:rsidR="0074532F">
        <w:t>used</w:t>
      </w:r>
      <w:r w:rsidR="00830502">
        <w:t xml:space="preserve"> to expand </w:t>
      </w:r>
      <w:r w:rsidR="004E59F2">
        <w:t xml:space="preserve">territorial </w:t>
      </w:r>
      <w:r w:rsidR="00830502">
        <w:t>coverage</w:t>
      </w:r>
      <w:r w:rsidR="00CC3087">
        <w:t xml:space="preserve"> elsewhere</w:t>
      </w:r>
      <w:r w:rsidR="00830502">
        <w:t xml:space="preserve">. </w:t>
      </w:r>
      <w:r w:rsidR="00170FA7">
        <w:t>Reflecti</w:t>
      </w:r>
      <w:r w:rsidR="00830502">
        <w:t>ng</w:t>
      </w:r>
      <w:r w:rsidR="00170FA7">
        <w:t xml:space="preserve"> Chesbrough’s </w:t>
      </w:r>
      <w:r w:rsidR="0023074B">
        <w:t>“</w:t>
      </w:r>
      <w:r w:rsidR="00170FA7">
        <w:t>open innovation</w:t>
      </w:r>
      <w:r w:rsidR="0023074B">
        <w:t>”</w:t>
      </w:r>
      <w:r w:rsidR="00170FA7">
        <w:t xml:space="preserve"> model</w:t>
      </w:r>
      <w:r w:rsidR="005E5B26">
        <w:t>,</w:t>
      </w:r>
      <w:r w:rsidR="00170FA7">
        <w:t xml:space="preserve"> IP Wales was also able to offer additional </w:t>
      </w:r>
      <w:r w:rsidR="00386E35">
        <w:t>50</w:t>
      </w:r>
      <w:r w:rsidR="002042B7">
        <w:t xml:space="preserve"> percent</w:t>
      </w:r>
      <w:r w:rsidR="00386E35">
        <w:t xml:space="preserve"> </w:t>
      </w:r>
      <w:r w:rsidR="00170FA7">
        <w:t xml:space="preserve">financial support </w:t>
      </w:r>
      <w:r w:rsidR="00E91F8A">
        <w:t>towards</w:t>
      </w:r>
      <w:r w:rsidR="00386E35">
        <w:t xml:space="preserve"> </w:t>
      </w:r>
      <w:r w:rsidR="00DD330A">
        <w:t xml:space="preserve">the </w:t>
      </w:r>
      <w:r w:rsidR="00386E35">
        <w:t xml:space="preserve">legal costs </w:t>
      </w:r>
      <w:r w:rsidR="004E59F2">
        <w:t>of</w:t>
      </w:r>
      <w:r w:rsidR="00386E35">
        <w:t xml:space="preserve"> </w:t>
      </w:r>
      <w:r w:rsidR="00170FA7">
        <w:t>25 licensing deals</w:t>
      </w:r>
      <w:r w:rsidR="00386E35">
        <w:t xml:space="preserve">, </w:t>
      </w:r>
      <w:r w:rsidR="00B75068">
        <w:t xml:space="preserve">supporting </w:t>
      </w:r>
      <w:r w:rsidR="00386E35">
        <w:t xml:space="preserve">both </w:t>
      </w:r>
      <w:r w:rsidR="00B75068">
        <w:t xml:space="preserve">the </w:t>
      </w:r>
      <w:r w:rsidR="00386E35">
        <w:t xml:space="preserve">licensing-in </w:t>
      </w:r>
      <w:r w:rsidR="00B75068">
        <w:t xml:space="preserve">of </w:t>
      </w:r>
      <w:r w:rsidR="00386E35">
        <w:t xml:space="preserve">12 technologies into Welsh SMEs and </w:t>
      </w:r>
      <w:r w:rsidR="00B75068">
        <w:t xml:space="preserve">the </w:t>
      </w:r>
      <w:r w:rsidR="00386E35">
        <w:t xml:space="preserve">licensing-out </w:t>
      </w:r>
      <w:r w:rsidR="00B75068">
        <w:t xml:space="preserve">of </w:t>
      </w:r>
      <w:r w:rsidR="00386E35">
        <w:t xml:space="preserve">13 </w:t>
      </w:r>
      <w:r w:rsidR="002C491B">
        <w:t xml:space="preserve">Welsh </w:t>
      </w:r>
      <w:r w:rsidR="00B75068">
        <w:t xml:space="preserve">SME </w:t>
      </w:r>
      <w:r w:rsidR="00386E35">
        <w:t>technologies around the world.</w:t>
      </w:r>
      <w:r w:rsidR="00016CF8">
        <w:rPr>
          <w:rStyle w:val="FootnoteReference"/>
        </w:rPr>
        <w:footnoteReference w:id="11"/>
      </w:r>
    </w:p>
    <w:p w:rsidR="00286026" w:rsidRDefault="00B75068" w:rsidP="00F522AF">
      <w:pPr>
        <w:pStyle w:val="Newparagraph"/>
        <w:spacing w:line="360" w:lineRule="auto"/>
      </w:pPr>
      <w:r>
        <w:t xml:space="preserve">Consultants </w:t>
      </w:r>
      <w:r w:rsidR="00BD41DF" w:rsidRPr="00876105">
        <w:t xml:space="preserve">QED Intellectual Property Limited </w:t>
      </w:r>
      <w:r w:rsidR="002809BC">
        <w:t>(QED)</w:t>
      </w:r>
      <w:r w:rsidR="00016CF8">
        <w:rPr>
          <w:rStyle w:val="FootnoteReference"/>
        </w:rPr>
        <w:footnoteReference w:id="12"/>
      </w:r>
      <w:r w:rsidR="002809BC">
        <w:t xml:space="preserve"> </w:t>
      </w:r>
      <w:r w:rsidR="00C51E3D" w:rsidRPr="00876105">
        <w:t>w</w:t>
      </w:r>
      <w:r>
        <w:t>ere</w:t>
      </w:r>
      <w:r w:rsidR="00C51E3D" w:rsidRPr="00876105">
        <w:t xml:space="preserve"> commissioned </w:t>
      </w:r>
      <w:r w:rsidR="004E59F2">
        <w:t xml:space="preserve">by IP Wales </w:t>
      </w:r>
      <w:r w:rsidR="00BD41DF" w:rsidRPr="00876105">
        <w:t>to conduct a</w:t>
      </w:r>
      <w:r w:rsidR="00C51E3D" w:rsidRPr="00876105">
        <w:t>n independent</w:t>
      </w:r>
      <w:r w:rsidR="00BD41DF" w:rsidRPr="00876105">
        <w:t xml:space="preserve"> study into the commercial exploitation potential of </w:t>
      </w:r>
      <w:r w:rsidR="00C51E3D" w:rsidRPr="00876105">
        <w:t>the</w:t>
      </w:r>
      <w:r w:rsidR="00876105">
        <w:t xml:space="preserve"> 109</w:t>
      </w:r>
      <w:r w:rsidR="00C51E3D" w:rsidRPr="00876105">
        <w:t xml:space="preserve"> </w:t>
      </w:r>
      <w:r w:rsidR="00BD41DF" w:rsidRPr="00876105">
        <w:t>SMEs</w:t>
      </w:r>
      <w:r w:rsidR="005224F1">
        <w:t xml:space="preserve"> </w:t>
      </w:r>
      <w:r w:rsidR="00876105">
        <w:t xml:space="preserve">selected </w:t>
      </w:r>
      <w:r w:rsidR="00DD330A">
        <w:t>via</w:t>
      </w:r>
      <w:r w:rsidR="00876105">
        <w:t xml:space="preserve"> assessment panel to </w:t>
      </w:r>
      <w:r w:rsidR="006A110F">
        <w:t>receive grant assistance</w:t>
      </w:r>
      <w:r w:rsidR="00BD41DF" w:rsidRPr="00876105">
        <w:t>.</w:t>
      </w:r>
      <w:r w:rsidR="00876105">
        <w:t xml:space="preserve"> 22 SMEs were identified </w:t>
      </w:r>
      <w:r w:rsidR="00CC3087">
        <w:t>by</w:t>
      </w:r>
      <w:r w:rsidR="00876105">
        <w:t xml:space="preserve"> QED as </w:t>
      </w:r>
      <w:r>
        <w:t xml:space="preserve">having </w:t>
      </w:r>
      <w:r w:rsidR="00876105">
        <w:t>high growth</w:t>
      </w:r>
      <w:r w:rsidR="002C491B">
        <w:t xml:space="preserve"> potential</w:t>
      </w:r>
      <w:r>
        <w:t>; QED</w:t>
      </w:r>
      <w:r w:rsidR="00876105">
        <w:t xml:space="preserve"> then undertook </w:t>
      </w:r>
      <w:r w:rsidR="006F2982">
        <w:t>an</w:t>
      </w:r>
      <w:r w:rsidR="00876105">
        <w:t xml:space="preserve"> evaluation and validation of </w:t>
      </w:r>
      <w:r w:rsidR="006F2982">
        <w:t xml:space="preserve">the </w:t>
      </w:r>
      <w:r w:rsidR="00876105">
        <w:t xml:space="preserve">intellectual property generated by these </w:t>
      </w:r>
      <w:r w:rsidR="00B92016">
        <w:t>SMEs</w:t>
      </w:r>
      <w:r w:rsidR="00876105">
        <w:t xml:space="preserve">. </w:t>
      </w:r>
      <w:r w:rsidR="002406EA">
        <w:t xml:space="preserve">In some </w:t>
      </w:r>
      <w:r w:rsidR="00495B8F">
        <w:t>respects,</w:t>
      </w:r>
      <w:r w:rsidR="002406EA">
        <w:t xml:space="preserve"> the findings of th</w:t>
      </w:r>
      <w:r w:rsidR="00C3387F">
        <w:t>is</w:t>
      </w:r>
      <w:r w:rsidR="002406EA">
        <w:t xml:space="preserve"> QED Report</w:t>
      </w:r>
      <w:r w:rsidR="00016CF8">
        <w:rPr>
          <w:rStyle w:val="FootnoteReference"/>
        </w:rPr>
        <w:footnoteReference w:id="13"/>
      </w:r>
      <w:r w:rsidR="002406EA">
        <w:t xml:space="preserve"> makes for pleasing reading. All of the SMEs viewed their IP as useful if not critical for company growth, </w:t>
      </w:r>
      <w:r w:rsidR="00912602">
        <w:t>recognizing</w:t>
      </w:r>
      <w:r w:rsidR="002406EA">
        <w:t xml:space="preserve"> the legal validity of their IP </w:t>
      </w:r>
      <w:r w:rsidR="00C3387F">
        <w:t>to be</w:t>
      </w:r>
      <w:r w:rsidR="002406EA">
        <w:t xml:space="preserve"> vital. Many showed a strong willingness</w:t>
      </w:r>
      <w:r w:rsidR="00C3387F">
        <w:t>,</w:t>
      </w:r>
      <w:r w:rsidR="002406EA">
        <w:t xml:space="preserve"> if not intention</w:t>
      </w:r>
      <w:r w:rsidR="00C3387F">
        <w:t>,</w:t>
      </w:r>
      <w:r w:rsidR="002406EA">
        <w:t xml:space="preserve"> to </w:t>
      </w:r>
      <w:r w:rsidR="00912602">
        <w:t>license</w:t>
      </w:r>
      <w:r w:rsidR="002406EA">
        <w:t>-out their IP.</w:t>
      </w:r>
      <w:r w:rsidR="008C4E54">
        <w:t xml:space="preserve"> Of the SMEs selected by QED market differentiation was mostly technology based with the IP being mainly patents, which for the most part </w:t>
      </w:r>
      <w:r w:rsidR="00495B8F">
        <w:t>was</w:t>
      </w:r>
      <w:r w:rsidR="008C4E54">
        <w:t xml:space="preserve"> </w:t>
      </w:r>
      <w:r w:rsidR="00C3387F">
        <w:t xml:space="preserve">reported to be </w:t>
      </w:r>
      <w:r w:rsidR="008C4E54">
        <w:t>well aligned with product life cycles.</w:t>
      </w:r>
    </w:p>
    <w:p w:rsidR="008C4E54" w:rsidRDefault="008C4E54" w:rsidP="00F522AF">
      <w:pPr>
        <w:pStyle w:val="Newparagraph"/>
        <w:spacing w:line="360" w:lineRule="auto"/>
      </w:pPr>
      <w:r>
        <w:t>However, th</w:t>
      </w:r>
      <w:r w:rsidR="00C3387F">
        <w:t>e</w:t>
      </w:r>
      <w:r>
        <w:t xml:space="preserve"> Report went on to identify a number </w:t>
      </w:r>
      <w:r w:rsidR="00C3387F">
        <w:t xml:space="preserve">of </w:t>
      </w:r>
      <w:r>
        <w:t>vulnerabilities and weaknesses. Some were recogni</w:t>
      </w:r>
      <w:r w:rsidR="006A347E">
        <w:t>z</w:t>
      </w:r>
      <w:r>
        <w:t>ed by the SMEs themselves</w:t>
      </w:r>
      <w:r w:rsidR="00C3387F">
        <w:t>,</w:t>
      </w:r>
      <w:r>
        <w:t xml:space="preserve"> who viewed their </w:t>
      </w:r>
      <w:r w:rsidR="00C3387F">
        <w:t xml:space="preserve">own </w:t>
      </w:r>
      <w:r>
        <w:t xml:space="preserve">IP awareness to be low or </w:t>
      </w:r>
      <w:r w:rsidR="006C7B27">
        <w:t xml:space="preserve">medium </w:t>
      </w:r>
      <w:r>
        <w:t xml:space="preserve">at best and </w:t>
      </w:r>
      <w:r w:rsidR="006C7B27">
        <w:t>accepted they</w:t>
      </w:r>
      <w:r w:rsidR="00C3387F">
        <w:t xml:space="preserve"> </w:t>
      </w:r>
      <w:r>
        <w:t>undert</w:t>
      </w:r>
      <w:r w:rsidR="00C3387F">
        <w:t>ook</w:t>
      </w:r>
      <w:r>
        <w:t xml:space="preserve"> very little formal IP planning. This lack of awareness led to a failure </w:t>
      </w:r>
      <w:r w:rsidR="003D77F1">
        <w:t>to recogni</w:t>
      </w:r>
      <w:r w:rsidR="006A347E">
        <w:t>z</w:t>
      </w:r>
      <w:r w:rsidR="003D77F1">
        <w:t xml:space="preserve">e the commercial importance of their </w:t>
      </w:r>
      <w:r w:rsidR="0004080A">
        <w:t>“</w:t>
      </w:r>
      <w:r w:rsidR="003D77F1">
        <w:t>know-how</w:t>
      </w:r>
      <w:r w:rsidR="0004080A">
        <w:t>”</w:t>
      </w:r>
      <w:r w:rsidR="003D77F1">
        <w:t>, with none viewing it as potentially more important than a patent.</w:t>
      </w:r>
      <w:r w:rsidR="00016CF8">
        <w:rPr>
          <w:rStyle w:val="FootnoteReference"/>
        </w:rPr>
        <w:footnoteReference w:id="14"/>
      </w:r>
      <w:r w:rsidR="003D77F1">
        <w:t xml:space="preserve"> </w:t>
      </w:r>
      <w:r>
        <w:t xml:space="preserve">Some were linked to the </w:t>
      </w:r>
      <w:r>
        <w:lastRenderedPageBreak/>
        <w:t xml:space="preserve">strong emotional attachment many SMEs felt with their technologies. </w:t>
      </w:r>
      <w:r w:rsidR="003D77F1">
        <w:t>QED was surprised to find that most SMEs believed their technology to represent a major technical advance</w:t>
      </w:r>
      <w:r w:rsidR="00016CF8">
        <w:rPr>
          <w:rStyle w:val="FootnoteReference"/>
        </w:rPr>
        <w:footnoteReference w:id="15"/>
      </w:r>
      <w:r w:rsidR="003D77F1">
        <w:t xml:space="preserve"> and none contemplated their IP as a tradable asset. Whilst </w:t>
      </w:r>
      <w:r w:rsidR="00FD771D">
        <w:t xml:space="preserve">SME </w:t>
      </w:r>
      <w:r w:rsidR="003D77F1">
        <w:t xml:space="preserve">passion </w:t>
      </w:r>
      <w:r w:rsidR="00FD771D">
        <w:t>in their technologies was to be admired QED warned against a lack of commercial objectivity.</w:t>
      </w:r>
    </w:p>
    <w:p w:rsidR="00FD771D" w:rsidRDefault="00FD771D" w:rsidP="00F522AF">
      <w:pPr>
        <w:pStyle w:val="Newparagraph"/>
        <w:spacing w:line="360" w:lineRule="auto"/>
      </w:pPr>
      <w:r>
        <w:t>Others</w:t>
      </w:r>
      <w:r w:rsidR="003D77F1">
        <w:t xml:space="preserve"> were linked to a lack of resource</w:t>
      </w:r>
      <w:r>
        <w:t>,</w:t>
      </w:r>
      <w:r w:rsidR="003D77F1">
        <w:t xml:space="preserve"> with most SMEs</w:t>
      </w:r>
      <w:r>
        <w:t xml:space="preserve"> using a single IP asset to cover a wide market area, which presented a vulnerability if the SME had to engage in litigation. </w:t>
      </w:r>
      <w:r w:rsidR="00386E35">
        <w:t>In seeking to address</w:t>
      </w:r>
      <w:r w:rsidR="000B4CD2">
        <w:t xml:space="preserve"> </w:t>
      </w:r>
      <w:r w:rsidR="00165FC9">
        <w:t>QED</w:t>
      </w:r>
      <w:r w:rsidR="00F16E76">
        <w:t xml:space="preserve">’s concerns over a perceived </w:t>
      </w:r>
      <w:r w:rsidR="000B4CD2">
        <w:t xml:space="preserve">lack of financial resource </w:t>
      </w:r>
      <w:r w:rsidR="00F16E76">
        <w:t xml:space="preserve">available to the SMEs to meet the </w:t>
      </w:r>
      <w:r w:rsidR="006215CD">
        <w:t>expense of policing and protecting their patent portfolios</w:t>
      </w:r>
      <w:r w:rsidR="00A4165F">
        <w:t>,</w:t>
      </w:r>
      <w:r w:rsidR="000B4CD2">
        <w:t xml:space="preserve"> IP Wales arranged a special IP Insurance scheme for its members </w:t>
      </w:r>
      <w:r w:rsidR="00103A0D">
        <w:t>through</w:t>
      </w:r>
      <w:r w:rsidR="000B4CD2">
        <w:t xml:space="preserve"> HSBC Insurance</w:t>
      </w:r>
      <w:r w:rsidR="002F59F8">
        <w:t>.</w:t>
      </w:r>
      <w:r w:rsidR="00016CF8">
        <w:rPr>
          <w:rStyle w:val="FootnoteReference"/>
        </w:rPr>
        <w:footnoteReference w:id="16"/>
      </w:r>
      <w:r w:rsidR="002F59F8">
        <w:t xml:space="preserve"> </w:t>
      </w:r>
      <w:r w:rsidR="00C72528">
        <w:t>However</w:t>
      </w:r>
      <w:r w:rsidR="007D7481">
        <w:t>,</w:t>
      </w:r>
      <w:r w:rsidR="00C72528">
        <w:t xml:space="preserve"> this low</w:t>
      </w:r>
      <w:r w:rsidR="007D7481">
        <w:t>-</w:t>
      </w:r>
      <w:r w:rsidR="00C72528">
        <w:t xml:space="preserve">cost scheme proved </w:t>
      </w:r>
      <w:r w:rsidR="00A4165F">
        <w:t xml:space="preserve">to be </w:t>
      </w:r>
      <w:r w:rsidR="00C72528">
        <w:t xml:space="preserve">unpopular with </w:t>
      </w:r>
      <w:r w:rsidR="00C75620">
        <w:t>the</w:t>
      </w:r>
      <w:r w:rsidR="00C72528">
        <w:t xml:space="preserve"> </w:t>
      </w:r>
      <w:r w:rsidR="007D7481">
        <w:t xml:space="preserve">SME </w:t>
      </w:r>
      <w:r w:rsidR="00C72528">
        <w:t>membership</w:t>
      </w:r>
      <w:r w:rsidR="007D7481">
        <w:t>,</w:t>
      </w:r>
      <w:r w:rsidR="00C72528">
        <w:t xml:space="preserve"> in large measure </w:t>
      </w:r>
      <w:r w:rsidR="00BC6933">
        <w:t>due to</w:t>
      </w:r>
      <w:r w:rsidR="007D7481">
        <w:t xml:space="preserve"> </w:t>
      </w:r>
      <w:r w:rsidR="00A4165F">
        <w:t>an</w:t>
      </w:r>
      <w:r w:rsidR="00C72528">
        <w:t xml:space="preserve"> </w:t>
      </w:r>
      <w:r w:rsidR="007D7481">
        <w:t xml:space="preserve">actuarial insistence that the </w:t>
      </w:r>
      <w:r w:rsidR="0004080A">
        <w:t>“</w:t>
      </w:r>
      <w:r w:rsidR="00C72528">
        <w:t>litigious</w:t>
      </w:r>
      <w:r w:rsidR="0004080A">
        <w:t>”</w:t>
      </w:r>
      <w:r w:rsidR="00C72528">
        <w:t xml:space="preserve"> </w:t>
      </w:r>
      <w:r w:rsidR="00C14F56">
        <w:t>USA</w:t>
      </w:r>
      <w:r w:rsidR="00C72528">
        <w:t xml:space="preserve"> market </w:t>
      </w:r>
      <w:r w:rsidR="007D7481">
        <w:t>be</w:t>
      </w:r>
      <w:r w:rsidR="00C72528">
        <w:t xml:space="preserve"> excluded.</w:t>
      </w:r>
    </w:p>
    <w:p w:rsidR="00652666" w:rsidRPr="00885A61" w:rsidRDefault="00EE2211" w:rsidP="00F522AF">
      <w:pPr>
        <w:pStyle w:val="Newparagraph"/>
        <w:spacing w:line="360" w:lineRule="auto"/>
      </w:pPr>
      <w:r w:rsidRPr="00885A61">
        <w:t>In a r</w:t>
      </w:r>
      <w:r w:rsidR="00652666" w:rsidRPr="00885A61">
        <w:t>ecent survey</w:t>
      </w:r>
      <w:r w:rsidR="00016CF8">
        <w:rPr>
          <w:rStyle w:val="FootnoteReference"/>
        </w:rPr>
        <w:footnoteReference w:id="17"/>
      </w:r>
      <w:r w:rsidR="00016CF8">
        <w:t xml:space="preserve"> </w:t>
      </w:r>
      <w:r w:rsidR="00652666" w:rsidRPr="00885A61">
        <w:t xml:space="preserve">of </w:t>
      </w:r>
      <w:r w:rsidRPr="00885A61">
        <w:t xml:space="preserve">the 109 </w:t>
      </w:r>
      <w:r w:rsidR="00652666" w:rsidRPr="00885A61">
        <w:t xml:space="preserve">assisted </w:t>
      </w:r>
      <w:r w:rsidRPr="00885A61">
        <w:t>SMEs</w:t>
      </w:r>
      <w:r w:rsidR="00170FA7" w:rsidRPr="00885A61">
        <w:t>,</w:t>
      </w:r>
      <w:r w:rsidRPr="00885A61">
        <w:t xml:space="preserve"> 52</w:t>
      </w:r>
      <w:r w:rsidR="002042B7">
        <w:t xml:space="preserve"> percent</w:t>
      </w:r>
      <w:r w:rsidR="00016CF8">
        <w:rPr>
          <w:rStyle w:val="FootnoteReference"/>
        </w:rPr>
        <w:footnoteReference w:id="18"/>
      </w:r>
      <w:r w:rsidRPr="00885A61">
        <w:t xml:space="preserve"> were found to be operational after </w:t>
      </w:r>
      <w:r w:rsidR="00D51B68" w:rsidRPr="00885A61">
        <w:t>ten</w:t>
      </w:r>
      <w:r w:rsidRPr="00885A61">
        <w:t xml:space="preserve"> years, with the vast majority of those which </w:t>
      </w:r>
      <w:r w:rsidR="00E274C3" w:rsidRPr="00885A61">
        <w:t xml:space="preserve">did </w:t>
      </w:r>
      <w:r w:rsidRPr="00885A61">
        <w:t xml:space="preserve">fail doing </w:t>
      </w:r>
      <w:r w:rsidR="00BC6933" w:rsidRPr="00885A61">
        <w:t xml:space="preserve">so following </w:t>
      </w:r>
      <w:r w:rsidRPr="00885A61">
        <w:t xml:space="preserve">the global </w:t>
      </w:r>
      <w:r w:rsidR="00170FA7" w:rsidRPr="00885A61">
        <w:t xml:space="preserve">financial </w:t>
      </w:r>
      <w:r w:rsidRPr="00885A61">
        <w:t>cr</w:t>
      </w:r>
      <w:r w:rsidR="00E274C3" w:rsidRPr="00885A61">
        <w:t>isis</w:t>
      </w:r>
      <w:r w:rsidR="00170FA7" w:rsidRPr="00885A61">
        <w:t xml:space="preserve"> of </w:t>
      </w:r>
      <w:r w:rsidRPr="00885A61">
        <w:t>20</w:t>
      </w:r>
      <w:r w:rsidR="00BC6933" w:rsidRPr="00885A61">
        <w:t>08</w:t>
      </w:r>
      <w:r w:rsidRPr="00885A61">
        <w:t xml:space="preserve">. </w:t>
      </w:r>
      <w:r w:rsidR="00482DB3" w:rsidRPr="00885A61">
        <w:t xml:space="preserve">This compares </w:t>
      </w:r>
      <w:r w:rsidR="00912602" w:rsidRPr="00885A61">
        <w:t>favorably</w:t>
      </w:r>
      <w:r w:rsidR="00482DB3" w:rsidRPr="00885A61">
        <w:t xml:space="preserve"> with a UK business sector average of a</w:t>
      </w:r>
      <w:r w:rsidR="004A5EE3" w:rsidRPr="00885A61">
        <w:t xml:space="preserve">n </w:t>
      </w:r>
      <w:r w:rsidR="00482DB3" w:rsidRPr="00885A61">
        <w:t>11.6</w:t>
      </w:r>
      <w:r w:rsidR="002042B7">
        <w:t xml:space="preserve"> percent</w:t>
      </w:r>
      <w:r w:rsidR="00482DB3" w:rsidRPr="00885A61">
        <w:t xml:space="preserve"> </w:t>
      </w:r>
      <w:r w:rsidR="00BC6933" w:rsidRPr="00885A61">
        <w:t xml:space="preserve">annual </w:t>
      </w:r>
      <w:r w:rsidR="00482DB3" w:rsidRPr="00885A61">
        <w:t>death rate</w:t>
      </w:r>
      <w:r w:rsidR="008A722B" w:rsidRPr="00885A61">
        <w:t>.</w:t>
      </w:r>
      <w:r w:rsidR="00E976D5">
        <w:rPr>
          <w:rStyle w:val="FootnoteReference"/>
        </w:rPr>
        <w:footnoteReference w:id="19"/>
      </w:r>
      <w:r w:rsidR="008A722B" w:rsidRPr="00885A61">
        <w:t xml:space="preserve"> </w:t>
      </w:r>
      <w:r w:rsidR="00170FA7" w:rsidRPr="00885A61">
        <w:t xml:space="preserve">Of </w:t>
      </w:r>
      <w:r w:rsidRPr="00885A61">
        <w:t>the SMEs identified by QED</w:t>
      </w:r>
      <w:r w:rsidR="00170FA7" w:rsidRPr="00885A61">
        <w:t>,</w:t>
      </w:r>
      <w:r w:rsidRPr="00885A61">
        <w:t xml:space="preserve"> </w:t>
      </w:r>
      <w:r w:rsidR="00170FA7" w:rsidRPr="00885A61">
        <w:t>59</w:t>
      </w:r>
      <w:r w:rsidR="002042B7">
        <w:t xml:space="preserve"> percent</w:t>
      </w:r>
      <w:r w:rsidR="00170FA7" w:rsidRPr="00885A61">
        <w:t xml:space="preserve"> had been dissolved or were</w:t>
      </w:r>
      <w:r w:rsidR="007D7481" w:rsidRPr="00885A61">
        <w:t xml:space="preserve"> </w:t>
      </w:r>
      <w:r w:rsidR="00D51B68" w:rsidRPr="00885A61">
        <w:t xml:space="preserve">otherwise </w:t>
      </w:r>
      <w:r w:rsidR="00170FA7" w:rsidRPr="00885A61">
        <w:t>untraceable, 23</w:t>
      </w:r>
      <w:r w:rsidR="002042B7">
        <w:t xml:space="preserve"> percent</w:t>
      </w:r>
      <w:r w:rsidR="00170FA7" w:rsidRPr="00885A61">
        <w:t xml:space="preserve"> remained operational</w:t>
      </w:r>
      <w:r w:rsidR="006215CD" w:rsidRPr="00885A61">
        <w:t>,</w:t>
      </w:r>
      <w:r w:rsidR="00170FA7" w:rsidRPr="00885A61">
        <w:t xml:space="preserve"> and 18</w:t>
      </w:r>
      <w:r w:rsidR="002042B7">
        <w:t xml:space="preserve"> percent</w:t>
      </w:r>
      <w:r w:rsidR="00170FA7" w:rsidRPr="00885A61">
        <w:t xml:space="preserve"> had be</w:t>
      </w:r>
      <w:r w:rsidR="007D7481" w:rsidRPr="00885A61">
        <w:t>en</w:t>
      </w:r>
      <w:r w:rsidR="00170FA7" w:rsidRPr="00885A61">
        <w:t xml:space="preserve"> acquired</w:t>
      </w:r>
      <w:r w:rsidR="007D7481" w:rsidRPr="00885A61">
        <w:t xml:space="preserve"> by larger </w:t>
      </w:r>
      <w:r w:rsidR="00DD330A" w:rsidRPr="00885A61">
        <w:t xml:space="preserve">commercial </w:t>
      </w:r>
      <w:r w:rsidR="007D7481" w:rsidRPr="00885A61">
        <w:t>entities</w:t>
      </w:r>
      <w:r w:rsidR="002C491B" w:rsidRPr="00885A61">
        <w:t xml:space="preserve">, presumably in preference </w:t>
      </w:r>
      <w:r w:rsidR="006215CD" w:rsidRPr="00885A61">
        <w:t xml:space="preserve">to </w:t>
      </w:r>
      <w:r w:rsidR="002C491B" w:rsidRPr="00885A61">
        <w:t>any</w:t>
      </w:r>
      <w:r w:rsidR="007D7481" w:rsidRPr="00885A61">
        <w:t xml:space="preserve"> licensing arrangement</w:t>
      </w:r>
      <w:r w:rsidR="00170FA7" w:rsidRPr="00885A61">
        <w:t xml:space="preserve">. </w:t>
      </w:r>
    </w:p>
    <w:p w:rsidR="00437FDE" w:rsidRPr="007D7481" w:rsidRDefault="00BD41DF" w:rsidP="00F522AF">
      <w:pPr>
        <w:pStyle w:val="Newparagraph"/>
        <w:spacing w:line="360" w:lineRule="auto"/>
      </w:pPr>
      <w:r w:rsidRPr="007D7481">
        <w:t>I</w:t>
      </w:r>
      <w:r w:rsidR="00D01739" w:rsidRPr="007D7481">
        <w:t>n addition to</w:t>
      </w:r>
      <w:r w:rsidR="007D7481">
        <w:t xml:space="preserve"> </w:t>
      </w:r>
      <w:r w:rsidR="00CC3087">
        <w:t>those</w:t>
      </w:r>
      <w:r w:rsidR="004A5EE3">
        <w:t xml:space="preserve"> </w:t>
      </w:r>
      <w:r w:rsidR="007D7481">
        <w:t xml:space="preserve">members </w:t>
      </w:r>
      <w:r w:rsidR="00D01739" w:rsidRPr="007D7481">
        <w:t xml:space="preserve">taking formal IP coverage </w:t>
      </w:r>
      <w:r w:rsidR="006215CD">
        <w:t>a comparable</w:t>
      </w:r>
      <w:r w:rsidR="00D01739" w:rsidRPr="007D7481">
        <w:t xml:space="preserve"> number of </w:t>
      </w:r>
      <w:r w:rsidR="006215CD">
        <w:t>SME</w:t>
      </w:r>
      <w:r w:rsidR="00B60C14">
        <w:t>s</w:t>
      </w:r>
      <w:r w:rsidR="006215CD">
        <w:t xml:space="preserve"> </w:t>
      </w:r>
      <w:r w:rsidR="007D7481">
        <w:t>so</w:t>
      </w:r>
      <w:r w:rsidR="00C14F56">
        <w:t>ught</w:t>
      </w:r>
      <w:r w:rsidR="007D7481">
        <w:t xml:space="preserve"> to </w:t>
      </w:r>
      <w:r w:rsidR="00912602" w:rsidRPr="007D7481">
        <w:t>utilize</w:t>
      </w:r>
      <w:r w:rsidRPr="007D7481">
        <w:t xml:space="preserve"> alternative IP strategies, often linked with trade secret</w:t>
      </w:r>
      <w:r w:rsidR="00E06FAC">
        <w:t>s</w:t>
      </w:r>
      <w:r w:rsidRPr="007D7481">
        <w:t xml:space="preserve"> protection. </w:t>
      </w:r>
      <w:r w:rsidR="00103A0D">
        <w:t xml:space="preserve">Best </w:t>
      </w:r>
      <w:r w:rsidR="00BD4E75">
        <w:t>i</w:t>
      </w:r>
      <w:r w:rsidRPr="007D7481">
        <w:t xml:space="preserve">llustrative of this </w:t>
      </w:r>
      <w:r w:rsidR="00BD4E75">
        <w:t xml:space="preserve">latter category of SME </w:t>
      </w:r>
      <w:r w:rsidR="002C491B">
        <w:t>wa</w:t>
      </w:r>
      <w:r w:rsidR="00300EB2">
        <w:t>s</w:t>
      </w:r>
      <w:r w:rsidRPr="007D7481">
        <w:t xml:space="preserve"> Cry</w:t>
      </w:r>
      <w:r w:rsidR="00300EB2">
        <w:t>o</w:t>
      </w:r>
      <w:r w:rsidRPr="007D7481">
        <w:t xml:space="preserve">ton </w:t>
      </w:r>
      <w:r w:rsidR="00300EB2">
        <w:t xml:space="preserve">(UK) </w:t>
      </w:r>
      <w:r w:rsidRPr="007D7481">
        <w:t>Limited</w:t>
      </w:r>
      <w:r w:rsidR="006215CD">
        <w:t xml:space="preserve">. This </w:t>
      </w:r>
      <w:r w:rsidR="00B60C14">
        <w:t xml:space="preserve">enterprise </w:t>
      </w:r>
      <w:r w:rsidR="006215CD">
        <w:t>received</w:t>
      </w:r>
      <w:r w:rsidRPr="007D7481">
        <w:t xml:space="preserve"> </w:t>
      </w:r>
      <w:r w:rsidR="00300EB2">
        <w:t>50</w:t>
      </w:r>
      <w:r w:rsidR="002042B7">
        <w:t xml:space="preserve"> percent</w:t>
      </w:r>
      <w:r w:rsidR="00300EB2">
        <w:t xml:space="preserve"> funding </w:t>
      </w:r>
      <w:r w:rsidR="00B60C14">
        <w:t xml:space="preserve">under the </w:t>
      </w:r>
      <w:r w:rsidR="00B60C14" w:rsidRPr="00F522AF">
        <w:rPr>
          <w:i/>
          <w:iCs/>
        </w:rPr>
        <w:t>Swansea IPR Initiative</w:t>
      </w:r>
      <w:r w:rsidR="00B60C14">
        <w:t xml:space="preserve"> pilot project </w:t>
      </w:r>
      <w:r w:rsidR="00300EB2">
        <w:t>towards patent costs</w:t>
      </w:r>
      <w:r w:rsidR="00E976D5">
        <w:rPr>
          <w:rStyle w:val="FootnoteReference"/>
        </w:rPr>
        <w:footnoteReference w:id="20"/>
      </w:r>
      <w:r w:rsidR="00300EB2">
        <w:t xml:space="preserve"> associated with an invention for use in the oil drilling industry</w:t>
      </w:r>
      <w:r w:rsidR="008A722B">
        <w:t>,</w:t>
      </w:r>
      <w:r w:rsidR="00E976D5">
        <w:rPr>
          <w:rStyle w:val="FootnoteReference"/>
        </w:rPr>
        <w:footnoteReference w:id="21"/>
      </w:r>
      <w:r w:rsidR="00173CEA">
        <w:t xml:space="preserve"> but thereafter decided </w:t>
      </w:r>
      <w:r w:rsidR="006215CD">
        <w:t xml:space="preserve">to rely </w:t>
      </w:r>
      <w:r w:rsidR="00173CEA">
        <w:t>on trade secret</w:t>
      </w:r>
      <w:r w:rsidR="00816CEB">
        <w:t>s</w:t>
      </w:r>
      <w:r w:rsidR="00173CEA">
        <w:t xml:space="preserve"> protection for future technological developments, using amber encasement technology to prevent </w:t>
      </w:r>
      <w:r w:rsidR="00E06FAC">
        <w:t>any “</w:t>
      </w:r>
      <w:r w:rsidR="00173CEA">
        <w:t>reverse engineering</w:t>
      </w:r>
      <w:r w:rsidR="00E06FAC">
        <w:t>”</w:t>
      </w:r>
      <w:r w:rsidR="006D459E">
        <w:t>.</w:t>
      </w:r>
    </w:p>
    <w:p w:rsidR="006215CD" w:rsidRDefault="00C14F56" w:rsidP="00F522AF">
      <w:pPr>
        <w:pStyle w:val="Newparagraph"/>
        <w:spacing w:line="360" w:lineRule="auto"/>
      </w:pPr>
      <w:r>
        <w:lastRenderedPageBreak/>
        <w:t xml:space="preserve">The overall </w:t>
      </w:r>
      <w:r w:rsidR="00437FDE" w:rsidRPr="00437FDE">
        <w:t xml:space="preserve">finding </w:t>
      </w:r>
      <w:r w:rsidR="00C51E3D">
        <w:t xml:space="preserve">from </w:t>
      </w:r>
      <w:r w:rsidR="00632F1F">
        <w:t>this</w:t>
      </w:r>
      <w:r w:rsidR="00C51E3D">
        <w:t xml:space="preserve"> first phase of operation </w:t>
      </w:r>
      <w:r w:rsidR="00165FC9">
        <w:t xml:space="preserve">for IP Wales </w:t>
      </w:r>
      <w:r w:rsidR="00C51E3D">
        <w:t>was</w:t>
      </w:r>
      <w:r w:rsidR="00437FDE" w:rsidRPr="00437FDE">
        <w:t xml:space="preserve"> </w:t>
      </w:r>
      <w:r w:rsidR="006215CD">
        <w:t xml:space="preserve">this: </w:t>
      </w:r>
      <w:r w:rsidR="00437FDE" w:rsidRPr="00437FDE">
        <w:t>the main ingredients for the success of knowledge</w:t>
      </w:r>
      <w:r w:rsidR="007D7481">
        <w:t>-</w:t>
      </w:r>
      <w:r w:rsidR="00437FDE" w:rsidRPr="00437FDE">
        <w:t xml:space="preserve">based business </w:t>
      </w:r>
      <w:r w:rsidR="00652666">
        <w:t>was</w:t>
      </w:r>
      <w:r w:rsidR="00437FDE" w:rsidRPr="00437FDE">
        <w:t xml:space="preserve"> access to advanced technology </w:t>
      </w:r>
      <w:r w:rsidR="00652666">
        <w:t>and</w:t>
      </w:r>
      <w:r w:rsidR="00437FDE" w:rsidRPr="00437FDE">
        <w:t xml:space="preserve"> know-how, good management and finance. </w:t>
      </w:r>
      <w:r>
        <w:t>The IP Wales</w:t>
      </w:r>
      <w:r w:rsidR="00437FDE" w:rsidRPr="00437FDE">
        <w:t xml:space="preserve"> experience </w:t>
      </w:r>
      <w:r w:rsidR="00C51E3D">
        <w:t>was</w:t>
      </w:r>
      <w:r w:rsidR="00437FDE" w:rsidRPr="00437FDE">
        <w:t xml:space="preserve"> a better management team will make more commercial use of a poorer technology than a poorer management team will make of a better technology</w:t>
      </w:r>
      <w:r w:rsidR="006215CD">
        <w:t>,</w:t>
      </w:r>
      <w:r w:rsidR="00437FDE" w:rsidRPr="00437FDE">
        <w:t xml:space="preserve"> and that financ</w:t>
      </w:r>
      <w:r w:rsidR="006215CD">
        <w:t>ial providers</w:t>
      </w:r>
      <w:r w:rsidR="00437FDE" w:rsidRPr="00437FDE">
        <w:t xml:space="preserve"> w</w:t>
      </w:r>
      <w:r>
        <w:t>ill</w:t>
      </w:r>
      <w:r w:rsidR="00652666">
        <w:t xml:space="preserve"> ultimately</w:t>
      </w:r>
      <w:r w:rsidR="00437FDE" w:rsidRPr="00437FDE">
        <w:t xml:space="preserve"> seek out </w:t>
      </w:r>
      <w:r w:rsidR="006215CD">
        <w:t xml:space="preserve">the </w:t>
      </w:r>
      <w:r w:rsidR="00437FDE" w:rsidRPr="00437FDE">
        <w:t>good management teams</w:t>
      </w:r>
      <w:r w:rsidR="00331CF3">
        <w:t>.</w:t>
      </w:r>
      <w:r w:rsidR="00E976D5">
        <w:rPr>
          <w:rStyle w:val="FootnoteReference"/>
        </w:rPr>
        <w:footnoteReference w:id="22"/>
      </w:r>
    </w:p>
    <w:p w:rsidR="00B60C14" w:rsidRPr="00E976D5" w:rsidRDefault="005E5B26" w:rsidP="00F522AF">
      <w:pPr>
        <w:pStyle w:val="Newparagraph"/>
        <w:spacing w:line="360" w:lineRule="auto"/>
      </w:pPr>
      <w:r>
        <w:t>With</w:t>
      </w:r>
      <w:r w:rsidR="00C14F56">
        <w:t xml:space="preserve"> plans already </w:t>
      </w:r>
      <w:r w:rsidR="00632F1F">
        <w:t xml:space="preserve">well </w:t>
      </w:r>
      <w:r w:rsidR="00C14F56">
        <w:t>a</w:t>
      </w:r>
      <w:r w:rsidR="00677147">
        <w:t xml:space="preserve">dvanced </w:t>
      </w:r>
      <w:r w:rsidR="00C14F56">
        <w:t>to build</w:t>
      </w:r>
      <w:r w:rsidR="00165FC9">
        <w:t xml:space="preserve"> </w:t>
      </w:r>
      <w:r w:rsidR="002C491B">
        <w:t>up</w:t>
      </w:r>
      <w:r w:rsidR="00165FC9">
        <w:t>on</w:t>
      </w:r>
      <w:r w:rsidR="006215CD">
        <w:t xml:space="preserve"> the</w:t>
      </w:r>
      <w:r w:rsidR="00677147">
        <w:t xml:space="preserve"> “</w:t>
      </w:r>
      <w:r w:rsidR="00677147" w:rsidRPr="00BC6933">
        <w:t>strength and expertise of IP Wale</w:t>
      </w:r>
      <w:r w:rsidR="006215CD">
        <w:t>s</w:t>
      </w:r>
      <w:r w:rsidR="00677147">
        <w:t xml:space="preserve">” by integrating </w:t>
      </w:r>
      <w:r w:rsidR="006215CD">
        <w:t>its</w:t>
      </w:r>
      <w:r w:rsidR="00677147">
        <w:t xml:space="preserve"> business support element into </w:t>
      </w:r>
      <w:r w:rsidR="00C21112">
        <w:t xml:space="preserve">mainstream </w:t>
      </w:r>
      <w:r w:rsidR="00677147">
        <w:t xml:space="preserve">Welsh Government </w:t>
      </w:r>
      <w:r w:rsidR="00165FC9">
        <w:t xml:space="preserve">services </w:t>
      </w:r>
      <w:r w:rsidR="00677147">
        <w:t xml:space="preserve">at the conclusion of European </w:t>
      </w:r>
      <w:r w:rsidR="00632F1F">
        <w:t xml:space="preserve">grant </w:t>
      </w:r>
      <w:r w:rsidR="00677147">
        <w:t>funding</w:t>
      </w:r>
      <w:r w:rsidR="00D1680C">
        <w:t>,</w:t>
      </w:r>
      <w:r w:rsidR="00E976D5">
        <w:rPr>
          <w:rStyle w:val="FootnoteReference"/>
        </w:rPr>
        <w:footnoteReference w:id="23"/>
      </w:r>
      <w:r w:rsidR="00677147">
        <w:t xml:space="preserve"> the </w:t>
      </w:r>
      <w:r w:rsidR="00E765DA">
        <w:t xml:space="preserve">focus of </w:t>
      </w:r>
      <w:r w:rsidR="00677147">
        <w:t>IP Wales</w:t>
      </w:r>
      <w:r w:rsidR="00437FDE" w:rsidRPr="00437FDE">
        <w:t xml:space="preserve"> </w:t>
      </w:r>
      <w:r w:rsidR="00677147">
        <w:t>now shifted to applying the lessons learnt from its first phase of operation.</w:t>
      </w:r>
    </w:p>
    <w:p w:rsidR="00CB598B" w:rsidRPr="00E976D5" w:rsidRDefault="00CB598B" w:rsidP="00F522AF">
      <w:pPr>
        <w:pStyle w:val="Heading1"/>
      </w:pPr>
      <w:r w:rsidRPr="00E976D5">
        <w:t>Teaching</w:t>
      </w:r>
    </w:p>
    <w:p w:rsidR="00DB439A" w:rsidRDefault="00912602" w:rsidP="00F522AF">
      <w:pPr>
        <w:pStyle w:val="Paragraph"/>
        <w:spacing w:line="360" w:lineRule="auto"/>
      </w:pPr>
      <w:r>
        <w:t>Recognizing</w:t>
      </w:r>
      <w:r w:rsidR="00DB439A">
        <w:t xml:space="preserve"> that </w:t>
      </w:r>
      <w:r w:rsidR="00B60C14">
        <w:t xml:space="preserve">a </w:t>
      </w:r>
      <w:r w:rsidR="00B07168">
        <w:t>high-</w:t>
      </w:r>
      <w:r w:rsidR="00DB439A">
        <w:t xml:space="preserve">quality </w:t>
      </w:r>
      <w:r w:rsidR="00BC6933">
        <w:t xml:space="preserve">SME </w:t>
      </w:r>
      <w:r w:rsidR="00DB439A">
        <w:t xml:space="preserve">management team was </w:t>
      </w:r>
      <w:r w:rsidR="00B07168">
        <w:t xml:space="preserve">of </w:t>
      </w:r>
      <w:r w:rsidR="00DB439A">
        <w:t>paramount</w:t>
      </w:r>
      <w:r w:rsidR="00B07168">
        <w:t xml:space="preserve"> importance (see above)</w:t>
      </w:r>
      <w:r w:rsidR="004A5EE3">
        <w:t>,</w:t>
      </w:r>
      <w:r w:rsidR="00DB439A">
        <w:t xml:space="preserve"> IP Wales</w:t>
      </w:r>
      <w:r w:rsidR="00B07168">
        <w:t xml:space="preserve"> </w:t>
      </w:r>
      <w:r w:rsidR="00DB439A">
        <w:t xml:space="preserve">began to explore </w:t>
      </w:r>
      <w:r w:rsidR="00B07168">
        <w:t xml:space="preserve">whether, and if so how, </w:t>
      </w:r>
      <w:r w:rsidR="00DB439A">
        <w:t xml:space="preserve">the learning and teaching of intellectual property law could benefit from </w:t>
      </w:r>
      <w:r w:rsidR="00BC6933">
        <w:t xml:space="preserve">its </w:t>
      </w:r>
      <w:r w:rsidR="005E5B26">
        <w:t xml:space="preserve">integration with </w:t>
      </w:r>
      <w:r w:rsidR="00DB439A">
        <w:t xml:space="preserve">management theory. </w:t>
      </w:r>
    </w:p>
    <w:p w:rsidR="00A35F63" w:rsidRDefault="00DB439A" w:rsidP="00F522AF">
      <w:pPr>
        <w:pStyle w:val="Newparagraph"/>
        <w:spacing w:line="360" w:lineRule="auto"/>
      </w:pPr>
      <w:r>
        <w:t xml:space="preserve">Chesbrough </w:t>
      </w:r>
      <w:r w:rsidR="00B07168">
        <w:t xml:space="preserve">had been </w:t>
      </w:r>
      <w:r w:rsidR="00912602">
        <w:t>skeptical</w:t>
      </w:r>
      <w:r w:rsidR="00B07168">
        <w:t xml:space="preserve"> about the claims of some </w:t>
      </w:r>
      <w:r>
        <w:t>“enthusiasts of IP”</w:t>
      </w:r>
      <w:r w:rsidR="00B07168">
        <w:t>.</w:t>
      </w:r>
      <w:r>
        <w:t xml:space="preserve"> </w:t>
      </w:r>
      <w:r w:rsidR="00B07168">
        <w:t>It was all very well, he said, to argue that IP had enormous potential value, if only companies would pay proper attention to it: but such a claim, he pointed out, was incomplete, since it “</w:t>
      </w:r>
      <w:r w:rsidR="00B26348">
        <w:t>assumes that technology assets have some inherent value, independent of any business model used to employ them</w:t>
      </w:r>
      <w:r w:rsidR="00F4418C">
        <w:t>”</w:t>
      </w:r>
      <w:r w:rsidR="00331CF3">
        <w:t>.</w:t>
      </w:r>
      <w:r w:rsidR="00E976D5">
        <w:rPr>
          <w:rStyle w:val="FootnoteReference"/>
        </w:rPr>
        <w:footnoteReference w:id="24"/>
      </w:r>
      <w:r w:rsidR="00B26348">
        <w:t xml:space="preserve"> </w:t>
      </w:r>
      <w:r w:rsidR="00411B54">
        <w:t xml:space="preserve">In his work </w:t>
      </w:r>
      <w:r w:rsidR="00312DFE" w:rsidRPr="00312DFE">
        <w:rPr>
          <w:i/>
          <w:iCs/>
        </w:rPr>
        <w:t>Integrated Intellectual Asset Management: A Guide to Exploiting and Protecting your Organi</w:t>
      </w:r>
      <w:r w:rsidR="006A347E">
        <w:rPr>
          <w:i/>
          <w:iCs/>
        </w:rPr>
        <w:t>z</w:t>
      </w:r>
      <w:r w:rsidR="00312DFE" w:rsidRPr="00312DFE">
        <w:rPr>
          <w:i/>
          <w:iCs/>
        </w:rPr>
        <w:t>ation’s Intellectual Assets</w:t>
      </w:r>
      <w:r w:rsidR="0017538B">
        <w:t>, first published in 2006,</w:t>
      </w:r>
      <w:r>
        <w:t xml:space="preserve"> </w:t>
      </w:r>
      <w:r w:rsidR="00652666" w:rsidRPr="00DB439A">
        <w:t>Steve Manton</w:t>
      </w:r>
      <w:r w:rsidR="004238A5">
        <w:t xml:space="preserve"> </w:t>
      </w:r>
      <w:r w:rsidR="0017538B">
        <w:t>recogni</w:t>
      </w:r>
      <w:r w:rsidR="006A347E">
        <w:t>z</w:t>
      </w:r>
      <w:r w:rsidR="0017538B">
        <w:t xml:space="preserve">ed this fact, and </w:t>
      </w:r>
      <w:r w:rsidR="004238A5">
        <w:t>set</w:t>
      </w:r>
      <w:r w:rsidR="00312DFE">
        <w:t xml:space="preserve"> himself the task of unifying</w:t>
      </w:r>
      <w:r w:rsidR="0017538B">
        <w:t xml:space="preserve"> what he referred to as</w:t>
      </w:r>
      <w:r w:rsidR="00312DFE">
        <w:t xml:space="preserve"> “the management of knowledge</w:t>
      </w:r>
      <w:r w:rsidR="00AA6D20">
        <w:t xml:space="preserve"> and intellectual property.”</w:t>
      </w:r>
      <w:r w:rsidR="00E976D5">
        <w:rPr>
          <w:rStyle w:val="FootnoteReference"/>
        </w:rPr>
        <w:footnoteReference w:id="25"/>
      </w:r>
      <w:r w:rsidR="00AA6D20">
        <w:t xml:space="preserve"> </w:t>
      </w:r>
      <w:r w:rsidR="0017538B">
        <w:t xml:space="preserve">He </w:t>
      </w:r>
      <w:r w:rsidR="00AA6D20">
        <w:t>set the goals of integrated intellectual assets management for the IP lawyer as</w:t>
      </w:r>
      <w:r w:rsidR="0017538B">
        <w:t xml:space="preserve"> follows: (i) </w:t>
      </w:r>
      <w:r w:rsidR="00AA6D20">
        <w:t xml:space="preserve">ensuring </w:t>
      </w:r>
      <w:r w:rsidR="004D780C">
        <w:t xml:space="preserve">access and </w:t>
      </w:r>
      <w:r w:rsidR="00AA6D20">
        <w:t>freedom to exploit</w:t>
      </w:r>
      <w:r w:rsidR="00B60C14">
        <w:t>,</w:t>
      </w:r>
      <w:r w:rsidR="00AA6D20">
        <w:t xml:space="preserve"> </w:t>
      </w:r>
      <w:r w:rsidR="0017538B">
        <w:t xml:space="preserve">with the </w:t>
      </w:r>
      <w:r w:rsidR="00AA6D20">
        <w:t xml:space="preserve">law </w:t>
      </w:r>
      <w:r w:rsidR="0017538B">
        <w:t>being used as a</w:t>
      </w:r>
      <w:r w:rsidR="00AA6D20">
        <w:t xml:space="preserve"> </w:t>
      </w:r>
      <w:r w:rsidR="00DD330A">
        <w:t xml:space="preserve">protective </w:t>
      </w:r>
      <w:r w:rsidR="00AA6D20">
        <w:t>shield</w:t>
      </w:r>
      <w:r w:rsidR="0017538B">
        <w:t>; (ii)</w:t>
      </w:r>
      <w:r w:rsidR="00AA6D20">
        <w:t xml:space="preserve"> </w:t>
      </w:r>
      <w:r w:rsidR="00912602">
        <w:t>minimizing</w:t>
      </w:r>
      <w:r w:rsidR="004D780C">
        <w:t xml:space="preserve"> access </w:t>
      </w:r>
      <w:r w:rsidR="0017538B">
        <w:t xml:space="preserve">by </w:t>
      </w:r>
      <w:r w:rsidR="004D780C">
        <w:t xml:space="preserve">third </w:t>
      </w:r>
      <w:r w:rsidR="004D780C">
        <w:lastRenderedPageBreak/>
        <w:t>parties</w:t>
      </w:r>
      <w:r w:rsidR="00B60C14">
        <w:t>,</w:t>
      </w:r>
      <w:r w:rsidR="004D780C">
        <w:t xml:space="preserve"> by us</w:t>
      </w:r>
      <w:r w:rsidR="0017538B">
        <w:t>ing</w:t>
      </w:r>
      <w:r w:rsidR="004D780C">
        <w:t xml:space="preserve"> the law like a sword to cut down</w:t>
      </w:r>
      <w:r w:rsidR="00271154">
        <w:t xml:space="preserve"> </w:t>
      </w:r>
      <w:r w:rsidR="00103A0D">
        <w:t xml:space="preserve">on </w:t>
      </w:r>
      <w:r w:rsidR="004D780C">
        <w:t>competition</w:t>
      </w:r>
      <w:r w:rsidR="0017538B">
        <w:t>;</w:t>
      </w:r>
      <w:r w:rsidR="004D780C">
        <w:t xml:space="preserve"> and </w:t>
      </w:r>
      <w:r w:rsidR="0017538B">
        <w:t>(iii) putting more emphasis on, and ensuring full exploitation of, key intellectual assets, in particular the organi</w:t>
      </w:r>
      <w:r w:rsidR="006A347E">
        <w:t>z</w:t>
      </w:r>
      <w:r w:rsidR="0017538B">
        <w:t xml:space="preserve">ation’s </w:t>
      </w:r>
      <w:r w:rsidR="00A35F63">
        <w:t>IP and IPRs</w:t>
      </w:r>
      <w:r w:rsidR="0017538B">
        <w:t xml:space="preserve"> but also all its other intangible assets</w:t>
      </w:r>
      <w:r w:rsidR="006A110F">
        <w:t xml:space="preserve">, </w:t>
      </w:r>
      <w:r w:rsidR="00A35F63">
        <w:t xml:space="preserve">such as know-how and reputation. </w:t>
      </w:r>
    </w:p>
    <w:p w:rsidR="00920920" w:rsidRDefault="0017538B" w:rsidP="00F522AF">
      <w:pPr>
        <w:pStyle w:val="Newparagraph"/>
        <w:spacing w:line="360" w:lineRule="auto"/>
      </w:pPr>
      <w:r>
        <w:t xml:space="preserve">About the same time there </w:t>
      </w:r>
      <w:r w:rsidR="0003682C">
        <w:t xml:space="preserve">appeared </w:t>
      </w:r>
      <w:r w:rsidR="00271154">
        <w:t>the</w:t>
      </w:r>
      <w:r w:rsidR="00920920">
        <w:t xml:space="preserve"> new edition of </w:t>
      </w:r>
      <w:r w:rsidR="0003682C">
        <w:t>a</w:t>
      </w:r>
      <w:r w:rsidR="00BC6933">
        <w:t xml:space="preserve"> heralded</w:t>
      </w:r>
      <w:r w:rsidR="0003682C">
        <w:t xml:space="preserve"> </w:t>
      </w:r>
      <w:r w:rsidR="00BC6933">
        <w:t>“</w:t>
      </w:r>
      <w:r w:rsidR="0003682C" w:rsidRPr="00BC6933">
        <w:t>unique book</w:t>
      </w:r>
      <w:r w:rsidR="00BC6933">
        <w:t>”</w:t>
      </w:r>
      <w:r w:rsidR="0003682C">
        <w:t xml:space="preserve"> about </w:t>
      </w:r>
      <w:r w:rsidR="00E06FAC">
        <w:t xml:space="preserve">UK </w:t>
      </w:r>
      <w:r w:rsidR="00BC6933">
        <w:t>i</w:t>
      </w:r>
      <w:r w:rsidR="0003682C">
        <w:t xml:space="preserve">ntellectual </w:t>
      </w:r>
      <w:r w:rsidR="00BC6933">
        <w:t>p</w:t>
      </w:r>
      <w:r w:rsidR="0003682C">
        <w:t xml:space="preserve">roperty </w:t>
      </w:r>
      <w:r w:rsidR="00271154">
        <w:t xml:space="preserve">law </w:t>
      </w:r>
      <w:r w:rsidR="0003682C">
        <w:t>offer</w:t>
      </w:r>
      <w:r w:rsidR="00271154">
        <w:t>ing</w:t>
      </w:r>
      <w:r>
        <w:t xml:space="preserve"> an </w:t>
      </w:r>
      <w:r w:rsidR="0003682C" w:rsidRPr="00BC6933">
        <w:t>insight into how the system actually work</w:t>
      </w:r>
      <w:r w:rsidR="009106E0">
        <w:t>ed</w:t>
      </w:r>
      <w:r w:rsidR="0003682C" w:rsidRPr="00BC6933">
        <w:t xml:space="preserve">. </w:t>
      </w:r>
      <w:r w:rsidR="009106E0">
        <w:t>As the authors of the work put it, “[</w:t>
      </w:r>
      <w:r w:rsidR="0003682C" w:rsidRPr="00BC6933">
        <w:t>Y</w:t>
      </w:r>
      <w:r w:rsidR="009106E0">
        <w:t>]</w:t>
      </w:r>
      <w:r w:rsidR="0003682C" w:rsidRPr="00BC6933">
        <w:t>ou cannot understand chess by merely learning the rules…you also have to know how the game is played: so to with Intellectual Property.</w:t>
      </w:r>
      <w:r w:rsidR="00920920">
        <w:t>”</w:t>
      </w:r>
      <w:r w:rsidR="00E976D5">
        <w:rPr>
          <w:rStyle w:val="FootnoteReference"/>
        </w:rPr>
        <w:footnoteReference w:id="26"/>
      </w:r>
    </w:p>
    <w:p w:rsidR="009106E0" w:rsidRPr="00E976D5" w:rsidRDefault="00A35F63" w:rsidP="00F522AF">
      <w:pPr>
        <w:pStyle w:val="Newparagraph"/>
        <w:spacing w:line="360" w:lineRule="auto"/>
      </w:pPr>
      <w:r>
        <w:t xml:space="preserve">Combined with the IP </w:t>
      </w:r>
      <w:r w:rsidR="00920920">
        <w:t xml:space="preserve">Wales </w:t>
      </w:r>
      <w:r w:rsidR="009975B3">
        <w:t xml:space="preserve">experience </w:t>
      </w:r>
      <w:r w:rsidR="00005DC8">
        <w:t xml:space="preserve">of SME business support </w:t>
      </w:r>
      <w:r w:rsidR="00920920">
        <w:t xml:space="preserve">these two texts became the basis </w:t>
      </w:r>
      <w:r>
        <w:t xml:space="preserve">for a new LLM module </w:t>
      </w:r>
      <w:r w:rsidR="006A110F">
        <w:t xml:space="preserve">delivered </w:t>
      </w:r>
      <w:r>
        <w:t xml:space="preserve">at </w:t>
      </w:r>
      <w:r w:rsidRPr="00F522AF">
        <w:t>Swansea</w:t>
      </w:r>
      <w:r>
        <w:t xml:space="preserve"> University</w:t>
      </w:r>
      <w:r w:rsidR="009975B3">
        <w:t xml:space="preserve">, </w:t>
      </w:r>
      <w:r w:rsidR="009106E0">
        <w:t xml:space="preserve">known as </w:t>
      </w:r>
      <w:r w:rsidR="009975B3">
        <w:t>the</w:t>
      </w:r>
      <w:r>
        <w:t xml:space="preserve"> </w:t>
      </w:r>
      <w:r w:rsidR="00920920" w:rsidRPr="009975B3">
        <w:rPr>
          <w:i/>
          <w:iCs/>
        </w:rPr>
        <w:t>Law of Intellectual Assets Management and Transactions</w:t>
      </w:r>
      <w:r w:rsidR="009975B3">
        <w:t xml:space="preserve">, </w:t>
      </w:r>
      <w:r w:rsidR="00920920">
        <w:t xml:space="preserve">which </w:t>
      </w:r>
      <w:r w:rsidR="006A110F">
        <w:t>has become</w:t>
      </w:r>
      <w:r w:rsidR="009975B3">
        <w:t xml:space="preserve"> </w:t>
      </w:r>
      <w:r w:rsidR="00920920">
        <w:t xml:space="preserve">compulsory for students on </w:t>
      </w:r>
      <w:r w:rsidR="009106E0">
        <w:t xml:space="preserve">the </w:t>
      </w:r>
      <w:r w:rsidR="00920920">
        <w:t xml:space="preserve">LLM </w:t>
      </w:r>
      <w:r w:rsidR="00912602">
        <w:t>program</w:t>
      </w:r>
      <w:r w:rsidR="009106E0">
        <w:t xml:space="preserve"> </w:t>
      </w:r>
      <w:r w:rsidR="00920920">
        <w:t xml:space="preserve">in Intellectual Property and Commercial Practice. </w:t>
      </w:r>
      <w:r w:rsidR="00BD4E75">
        <w:t>This module recogni</w:t>
      </w:r>
      <w:r w:rsidR="006A347E">
        <w:t>z</w:t>
      </w:r>
      <w:r w:rsidR="00BD4E75">
        <w:t xml:space="preserve">es that intellectual property is the area of law SMEs can </w:t>
      </w:r>
      <w:r w:rsidR="00912602">
        <w:t>utilize</w:t>
      </w:r>
      <w:r w:rsidR="00BD4E75">
        <w:t xml:space="preserve"> to </w:t>
      </w:r>
      <w:r w:rsidR="00EE023F">
        <w:t xml:space="preserve">help </w:t>
      </w:r>
      <w:r w:rsidR="00BD4E75">
        <w:t xml:space="preserve">differentiate their products and services in the commercial marketplace by </w:t>
      </w:r>
      <w:r w:rsidR="00EE023F">
        <w:t>branding/endorsement</w:t>
      </w:r>
      <w:r w:rsidR="00331CF3">
        <w:t>;</w:t>
      </w:r>
      <w:r w:rsidR="00EE023F">
        <w:t xml:space="preserve"> new technologies/creations</w:t>
      </w:r>
      <w:r w:rsidR="00331CF3">
        <w:t>; and</w:t>
      </w:r>
      <w:r w:rsidR="00EE023F">
        <w:t xml:space="preserve"> new designs/appearance. </w:t>
      </w:r>
      <w:r w:rsidR="009975B3">
        <w:t xml:space="preserve">At the time of writing </w:t>
      </w:r>
      <w:r w:rsidR="00C21112">
        <w:t xml:space="preserve">over </w:t>
      </w:r>
      <w:r w:rsidR="009975B3">
        <w:t>12</w:t>
      </w:r>
      <w:r w:rsidR="00C21112">
        <w:t>5</w:t>
      </w:r>
      <w:r w:rsidR="009975B3">
        <w:t xml:space="preserve"> masters</w:t>
      </w:r>
      <w:r w:rsidR="006A110F">
        <w:t>’</w:t>
      </w:r>
      <w:r w:rsidR="009975B3">
        <w:t xml:space="preserve"> students have now successfully completed their study of this module, </w:t>
      </w:r>
      <w:r w:rsidR="009106E0">
        <w:t xml:space="preserve">and have thus received a thorough grounding in the issue of how IP law can be used </w:t>
      </w:r>
      <w:r w:rsidR="001000BC">
        <w:t>for the benefit of SMEs</w:t>
      </w:r>
      <w:r w:rsidR="00BC6933">
        <w:t xml:space="preserve">, </w:t>
      </w:r>
      <w:r w:rsidR="009106E0">
        <w:t xml:space="preserve">neatly supplementing the doctrinal study of IP law available in other modules on the </w:t>
      </w:r>
      <w:r w:rsidR="00912602">
        <w:t xml:space="preserve">program </w:t>
      </w:r>
      <w:r w:rsidR="006C7BC1">
        <w:t>such as International Intellectual Property Law, which offers a public international law perspective</w:t>
      </w:r>
      <w:r w:rsidR="009106E0">
        <w:t xml:space="preserve">. </w:t>
      </w:r>
    </w:p>
    <w:p w:rsidR="00CB598B" w:rsidRPr="00E976D5" w:rsidRDefault="00CB598B" w:rsidP="00F522AF">
      <w:pPr>
        <w:pStyle w:val="Heading1"/>
      </w:pPr>
      <w:r w:rsidRPr="00E976D5">
        <w:t>Research</w:t>
      </w:r>
    </w:p>
    <w:p w:rsidR="004131E6" w:rsidRDefault="00862E6B" w:rsidP="00F522AF">
      <w:pPr>
        <w:pStyle w:val="Paragraph"/>
        <w:spacing w:line="360" w:lineRule="auto"/>
      </w:pPr>
      <w:r>
        <w:t>The timely publication</w:t>
      </w:r>
      <w:r w:rsidR="00005DC8">
        <w:t xml:space="preserve"> of</w:t>
      </w:r>
      <w:r>
        <w:t xml:space="preserve"> </w:t>
      </w:r>
      <w:r>
        <w:rPr>
          <w:i/>
          <w:iCs/>
        </w:rPr>
        <w:t>Intellectual Property and Innovation Management in Small Firms</w:t>
      </w:r>
      <w:r w:rsidR="00E976D5">
        <w:rPr>
          <w:rStyle w:val="FootnoteReference"/>
          <w:i/>
          <w:iCs/>
        </w:rPr>
        <w:footnoteReference w:id="27"/>
      </w:r>
      <w:r>
        <w:rPr>
          <w:i/>
          <w:iCs/>
        </w:rPr>
        <w:t xml:space="preserve"> </w:t>
      </w:r>
      <w:r w:rsidR="00005DC8">
        <w:t>as</w:t>
      </w:r>
      <w:r>
        <w:t xml:space="preserve"> the first major collect</w:t>
      </w:r>
      <w:r w:rsidR="00B60C14">
        <w:t>ion</w:t>
      </w:r>
      <w:r>
        <w:t xml:space="preserve"> </w:t>
      </w:r>
      <w:r w:rsidR="00CF3192">
        <w:t xml:space="preserve">of </w:t>
      </w:r>
      <w:r w:rsidR="0025564A">
        <w:t xml:space="preserve">UK </w:t>
      </w:r>
      <w:r w:rsidR="00CF3192">
        <w:t>papers</w:t>
      </w:r>
      <w:r>
        <w:t xml:space="preserve"> on IP and innovation management in SMEs revealed the </w:t>
      </w:r>
      <w:r w:rsidR="00CF3192">
        <w:t xml:space="preserve">desirability of dealing with this topic in a thoroughly </w:t>
      </w:r>
      <w:r>
        <w:t xml:space="preserve">interdisciplinary </w:t>
      </w:r>
      <w:r w:rsidR="00CF3192">
        <w:t xml:space="preserve">way. It contained contributions from </w:t>
      </w:r>
      <w:r>
        <w:t xml:space="preserve">IP lawyers, business </w:t>
      </w:r>
      <w:r w:rsidR="00893AA4">
        <w:t xml:space="preserve">and management </w:t>
      </w:r>
      <w:r>
        <w:t>researchers</w:t>
      </w:r>
      <w:r w:rsidR="00893AA4">
        <w:t xml:space="preserve">, sociologists and political scientists. </w:t>
      </w:r>
      <w:r w:rsidR="00CF3192">
        <w:t xml:space="preserve">In the course of so doing it featured </w:t>
      </w:r>
      <w:r w:rsidR="00005DC8">
        <w:t xml:space="preserve">eight out of the eleven </w:t>
      </w:r>
      <w:r w:rsidR="00CF3192">
        <w:t xml:space="preserve">projects funded by the </w:t>
      </w:r>
      <w:r w:rsidR="00005DC8">
        <w:t xml:space="preserve">Economic and Social Science Research Council (ESRC) under their </w:t>
      </w:r>
      <w:r w:rsidR="00005DC8">
        <w:rPr>
          <w:i/>
          <w:iCs/>
        </w:rPr>
        <w:t>Intellectual Property Initiative</w:t>
      </w:r>
      <w:r w:rsidR="00437E9C">
        <w:t>.</w:t>
      </w:r>
      <w:r w:rsidR="00E976D5">
        <w:rPr>
          <w:rStyle w:val="FootnoteReference"/>
        </w:rPr>
        <w:footnoteReference w:id="28"/>
      </w:r>
      <w:r w:rsidR="00437E9C">
        <w:t xml:space="preserve"> F</w:t>
      </w:r>
      <w:r w:rsidR="00005DC8">
        <w:t xml:space="preserve">our specific recommendations to policy-makers </w:t>
      </w:r>
      <w:r w:rsidR="00437E9C">
        <w:t xml:space="preserve">were </w:t>
      </w:r>
      <w:r w:rsidR="00437E9C">
        <w:lastRenderedPageBreak/>
        <w:t xml:space="preserve">offered </w:t>
      </w:r>
      <w:r w:rsidR="00005DC8">
        <w:t>on the basis of this research Initiative.</w:t>
      </w:r>
      <w:r w:rsidR="00E976D5">
        <w:rPr>
          <w:rStyle w:val="FootnoteReference"/>
        </w:rPr>
        <w:footnoteReference w:id="29"/>
      </w:r>
      <w:r w:rsidR="00A32CDC">
        <w:t xml:space="preserve"> These </w:t>
      </w:r>
      <w:r w:rsidR="00CD3F08">
        <w:t xml:space="preserve">arose </w:t>
      </w:r>
      <w:r w:rsidR="00437E9C">
        <w:t xml:space="preserve">from </w:t>
      </w:r>
      <w:r w:rsidR="00CD3F08">
        <w:t>a</w:t>
      </w:r>
      <w:r w:rsidR="00A32CDC">
        <w:t xml:space="preserve"> finding that SME</w:t>
      </w:r>
      <w:r w:rsidR="00CD3F08">
        <w:t>’s</w:t>
      </w:r>
      <w:r w:rsidR="00A32CDC">
        <w:t xml:space="preserve"> use of the IP system “depends very much on the sector in which they operate, and their size …probably, for most, the patent system has little or no relevance</w:t>
      </w:r>
      <w:r w:rsidR="00CD3F08">
        <w:t>” (although there was a recognition that “</w:t>
      </w:r>
      <w:r w:rsidR="00A32CDC">
        <w:t>patenting can be crucial</w:t>
      </w:r>
      <w:r w:rsidR="00490F25">
        <w:t xml:space="preserve">” for </w:t>
      </w:r>
      <w:r w:rsidR="00CD3F08">
        <w:t>some</w:t>
      </w:r>
      <w:r w:rsidR="00490F25">
        <w:t xml:space="preserve"> research-intensive sectors</w:t>
      </w:r>
      <w:r w:rsidR="004238A5">
        <w:t>,</w:t>
      </w:r>
      <w:r w:rsidR="00490F25">
        <w:t xml:space="preserve"> such as biotechnology</w:t>
      </w:r>
      <w:r w:rsidR="00CD3F08">
        <w:t>)</w:t>
      </w:r>
      <w:r w:rsidR="00165FC9">
        <w:t>.</w:t>
      </w:r>
      <w:r w:rsidR="00E976D5">
        <w:rPr>
          <w:rStyle w:val="FootnoteReference"/>
        </w:rPr>
        <w:footnoteReference w:id="30"/>
      </w:r>
      <w:r w:rsidR="00490F25">
        <w:t xml:space="preserve"> </w:t>
      </w:r>
    </w:p>
    <w:p w:rsidR="00A32CDC" w:rsidRDefault="00A32CDC" w:rsidP="00F522AF">
      <w:pPr>
        <w:pStyle w:val="Newparagraph"/>
        <w:spacing w:line="360" w:lineRule="auto"/>
      </w:pPr>
      <w:r>
        <w:t xml:space="preserve">In the first instance it was recommended that patent databases needed to be more user-friendly. </w:t>
      </w:r>
      <w:r w:rsidR="00490F25">
        <w:t xml:space="preserve">Few can object to anything being more </w:t>
      </w:r>
      <w:r w:rsidR="00912602">
        <w:t>user-friendly,</w:t>
      </w:r>
      <w:r w:rsidR="00490F25">
        <w:t xml:space="preserve"> but the IP Wales experience was the PATLIB network</w:t>
      </w:r>
      <w:r w:rsidR="008C551C">
        <w:rPr>
          <w:rStyle w:val="FootnoteReference"/>
        </w:rPr>
        <w:footnoteReference w:id="31"/>
      </w:r>
      <w:r w:rsidR="00490F25">
        <w:t xml:space="preserve"> was of more practical relevance in supporting SME use of patent databases for legal clearance searches, prior art searches or commercial intelligence searches</w:t>
      </w:r>
      <w:r w:rsidR="004131E6">
        <w:t>. This is why IP Wales appointed its own Librarian with expertise not only in searching patent databases but also trademark and design databases.</w:t>
      </w:r>
      <w:r w:rsidR="008C551C">
        <w:rPr>
          <w:rStyle w:val="FootnoteReference"/>
        </w:rPr>
        <w:footnoteReference w:id="32"/>
      </w:r>
    </w:p>
    <w:p w:rsidR="00CD3F08" w:rsidRDefault="00AD768B" w:rsidP="00F522AF">
      <w:pPr>
        <w:pStyle w:val="Newparagraph"/>
        <w:spacing w:line="360" w:lineRule="auto"/>
      </w:pPr>
      <w:r>
        <w:t xml:space="preserve">The second recommendation was an </w:t>
      </w:r>
      <w:r w:rsidR="00CD3F08">
        <w:t xml:space="preserve">open recognition </w:t>
      </w:r>
      <w:r>
        <w:t xml:space="preserve">that patent counts </w:t>
      </w:r>
      <w:r w:rsidR="00CD3F08">
        <w:t>were</w:t>
      </w:r>
      <w:r>
        <w:t xml:space="preserve"> not of themselves </w:t>
      </w:r>
      <w:r w:rsidR="00CD3F08">
        <w:t xml:space="preserve">reliable </w:t>
      </w:r>
      <w:r w:rsidR="00DD10D5">
        <w:t xml:space="preserve">indicators </w:t>
      </w:r>
      <w:r>
        <w:t xml:space="preserve">of the pace </w:t>
      </w:r>
      <w:r w:rsidR="00437E9C">
        <w:t>for</w:t>
      </w:r>
      <w:r>
        <w:t xml:space="preserve"> innovation. </w:t>
      </w:r>
    </w:p>
    <w:p w:rsidR="00AD768B" w:rsidRDefault="00AD768B" w:rsidP="00F522AF">
      <w:pPr>
        <w:pStyle w:val="Newparagraph"/>
        <w:spacing w:line="360" w:lineRule="auto"/>
      </w:pPr>
      <w:r>
        <w:t>The third recommendation went further</w:t>
      </w:r>
      <w:r w:rsidR="00CD3F08">
        <w:t>. It began by making the point that</w:t>
      </w:r>
      <w:r>
        <w:t xml:space="preserve"> the present emphasis </w:t>
      </w:r>
      <w:r w:rsidR="00165FC9">
        <w:t xml:space="preserve">in the EU and UK </w:t>
      </w:r>
      <w:r>
        <w:t xml:space="preserve">on formal </w:t>
      </w:r>
      <w:r w:rsidR="00437E9C">
        <w:t>IP</w:t>
      </w:r>
      <w:r>
        <w:t xml:space="preserve"> </w:t>
      </w:r>
      <w:r w:rsidR="00CD3F08">
        <w:t xml:space="preserve">actually </w:t>
      </w:r>
      <w:r>
        <w:t>ignore</w:t>
      </w:r>
      <w:r w:rsidR="00CD3F08">
        <w:t>d the practical</w:t>
      </w:r>
      <w:r>
        <w:t xml:space="preserve"> needs of most SMEs</w:t>
      </w:r>
      <w:r w:rsidR="00CD3F08">
        <w:t xml:space="preserve"> and stated that this had to be remedied. This was clearly correct. </w:t>
      </w:r>
      <w:r>
        <w:t xml:space="preserve">The IP Wales experience was its grant funding bodies </w:t>
      </w:r>
      <w:r w:rsidR="00CD3F08">
        <w:t xml:space="preserve">had </w:t>
      </w:r>
      <w:r>
        <w:t xml:space="preserve">required it to operate </w:t>
      </w:r>
      <w:r w:rsidR="00CD3F08">
        <w:t xml:space="preserve">on a rather </w:t>
      </w:r>
      <w:r>
        <w:t xml:space="preserve">artificial </w:t>
      </w:r>
      <w:r w:rsidR="00CD3F08">
        <w:t xml:space="preserve">basis, in a way which had </w:t>
      </w:r>
      <w:r w:rsidR="00DD10D5">
        <w:t xml:space="preserve">no practical </w:t>
      </w:r>
      <w:r w:rsidR="00165FC9">
        <w:t xml:space="preserve">commercial </w:t>
      </w:r>
      <w:r w:rsidR="00DD10D5">
        <w:t xml:space="preserve">relevance to its SME clients. In seeking to operate an all Wales project </w:t>
      </w:r>
      <w:r w:rsidR="00CD3F08">
        <w:t xml:space="preserve">the </w:t>
      </w:r>
      <w:r w:rsidR="00DD10D5">
        <w:t xml:space="preserve">EU funding </w:t>
      </w:r>
      <w:r w:rsidR="00CD3F08">
        <w:t xml:space="preserve">body had </w:t>
      </w:r>
      <w:r w:rsidR="00437E9C">
        <w:t>demanded</w:t>
      </w:r>
      <w:r w:rsidR="00DD10D5">
        <w:t xml:space="preserve"> </w:t>
      </w:r>
      <w:r w:rsidR="00437E9C">
        <w:t xml:space="preserve">the </w:t>
      </w:r>
      <w:r w:rsidR="00B60C14">
        <w:t>bur</w:t>
      </w:r>
      <w:r w:rsidR="004C2C2F">
        <w:t>eaucratic re</w:t>
      </w:r>
      <w:r w:rsidR="00B60C14">
        <w:t>c</w:t>
      </w:r>
      <w:r w:rsidR="004C2C2F">
        <w:t>ording</w:t>
      </w:r>
      <w:r w:rsidR="00B60C14">
        <w:t xml:space="preserve"> of </w:t>
      </w:r>
      <w:r w:rsidR="00DD10D5">
        <w:t xml:space="preserve">two projects </w:t>
      </w:r>
      <w:r w:rsidR="004C2C2F">
        <w:t xml:space="preserve">run </w:t>
      </w:r>
      <w:r w:rsidR="00DD10D5">
        <w:t>in parallel.</w:t>
      </w:r>
      <w:r w:rsidR="008C551C">
        <w:rPr>
          <w:rStyle w:val="FootnoteReference"/>
        </w:rPr>
        <w:footnoteReference w:id="33"/>
      </w:r>
      <w:r w:rsidR="00DD10D5">
        <w:t xml:space="preserve"> Welsh government funding was based upon the political expediency of IP Wales grant allocations </w:t>
      </w:r>
      <w:r w:rsidR="004238A5">
        <w:t xml:space="preserve">being made </w:t>
      </w:r>
      <w:r w:rsidR="00DD10D5">
        <w:t>across all local authority areas</w:t>
      </w:r>
      <w:r w:rsidR="004C2C2F">
        <w:t>,</w:t>
      </w:r>
      <w:r w:rsidR="000319CD">
        <w:t xml:space="preserve"> with </w:t>
      </w:r>
      <w:r w:rsidR="004238A5">
        <w:t>a</w:t>
      </w:r>
      <w:r w:rsidR="000319CD">
        <w:t xml:space="preserve"> heavy emphasis on supporting formal patent and trademark applications.</w:t>
      </w:r>
      <w:r w:rsidR="008C551C">
        <w:rPr>
          <w:rStyle w:val="FootnoteReference"/>
        </w:rPr>
        <w:footnoteReference w:id="34"/>
      </w:r>
      <w:r w:rsidR="000319CD">
        <w:t xml:space="preserve"> Most artificial of all were the targets demanded for jobs created in high tech and non-high tech </w:t>
      </w:r>
      <w:r w:rsidR="00341604">
        <w:t>industries</w:t>
      </w:r>
      <w:r w:rsidR="004C2C2F">
        <w:t>,</w:t>
      </w:r>
      <w:r w:rsidR="00341604">
        <w:t xml:space="preserve"> together with </w:t>
      </w:r>
      <w:r w:rsidR="000319CD">
        <w:t xml:space="preserve">jobs </w:t>
      </w:r>
      <w:r w:rsidR="000319CD">
        <w:lastRenderedPageBreak/>
        <w:t>safeguarded</w:t>
      </w:r>
      <w:r w:rsidR="00341604">
        <w:t>. This</w:t>
      </w:r>
      <w:r w:rsidR="004C2C2F">
        <w:t xml:space="preserve"> </w:t>
      </w:r>
      <w:r w:rsidR="00341604">
        <w:t xml:space="preserve">often led to SMEs </w:t>
      </w:r>
      <w:r w:rsidR="008C655F">
        <w:t>“</w:t>
      </w:r>
      <w:r w:rsidR="000319CD">
        <w:t>trading</w:t>
      </w:r>
      <w:r w:rsidR="008C655F">
        <w:t>”</w:t>
      </w:r>
      <w:r w:rsidR="000319CD">
        <w:t xml:space="preserve"> their employ</w:t>
      </w:r>
      <w:r w:rsidR="00103A0D">
        <w:t>ment</w:t>
      </w:r>
      <w:r w:rsidR="000319CD">
        <w:t xml:space="preserve"> growth </w:t>
      </w:r>
      <w:r w:rsidR="0058139C">
        <w:t>for grant capture</w:t>
      </w:r>
      <w:r w:rsidR="00437E9C">
        <w:t>,</w:t>
      </w:r>
      <w:r w:rsidR="0058139C">
        <w:t xml:space="preserve"> whilst being placed at </w:t>
      </w:r>
      <w:r w:rsidR="00437E9C">
        <w:t xml:space="preserve">the </w:t>
      </w:r>
      <w:r w:rsidR="0058139C">
        <w:t>risk of grant claw-back</w:t>
      </w:r>
      <w:r w:rsidR="000B0B5D">
        <w:t xml:space="preserve"> if </w:t>
      </w:r>
      <w:r w:rsidR="00F565FA">
        <w:t xml:space="preserve">their individual </w:t>
      </w:r>
      <w:r w:rsidR="000B0B5D">
        <w:t>jobs targets remained un</w:t>
      </w:r>
      <w:r w:rsidR="004C2C2F">
        <w:t>recorded</w:t>
      </w:r>
      <w:r w:rsidR="0058139C">
        <w:t>.</w:t>
      </w:r>
      <w:r w:rsidR="008C551C">
        <w:rPr>
          <w:rStyle w:val="FootnoteReference"/>
        </w:rPr>
        <w:footnoteReference w:id="35"/>
      </w:r>
    </w:p>
    <w:p w:rsidR="0058139C" w:rsidRPr="00005DC8" w:rsidRDefault="0058139C" w:rsidP="00F522AF">
      <w:pPr>
        <w:pStyle w:val="Newparagraph"/>
        <w:spacing w:line="360" w:lineRule="auto"/>
      </w:pPr>
      <w:r>
        <w:t>The final recommendation was a recognition that HEIs are unlikely to provide SMEs with significant IP</w:t>
      </w:r>
      <w:r w:rsidR="000B0B5D">
        <w:t xml:space="preserve"> </w:t>
      </w:r>
      <w:r w:rsidR="00341604">
        <w:t xml:space="preserve">assets </w:t>
      </w:r>
      <w:r w:rsidR="000B0B5D">
        <w:t>and</w:t>
      </w:r>
      <w:r>
        <w:t xml:space="preserve"> </w:t>
      </w:r>
      <w:r w:rsidR="009F088B">
        <w:t>accordingly</w:t>
      </w:r>
      <w:r w:rsidR="00341604">
        <w:t xml:space="preserve"> </w:t>
      </w:r>
      <w:r w:rsidR="007A5288">
        <w:t xml:space="preserve">HEIs should </w:t>
      </w:r>
      <w:r w:rsidR="00341604">
        <w:t xml:space="preserve">concentrate their efforts on </w:t>
      </w:r>
      <w:r>
        <w:t>produc</w:t>
      </w:r>
      <w:r w:rsidR="007A5288">
        <w:t>ing</w:t>
      </w:r>
      <w:r>
        <w:t xml:space="preserve"> high-quality graduates. </w:t>
      </w:r>
      <w:r w:rsidR="00574FDD">
        <w:t xml:space="preserve">The </w:t>
      </w:r>
      <w:r>
        <w:t xml:space="preserve">IP Wales </w:t>
      </w:r>
      <w:r w:rsidR="00574FDD">
        <w:t xml:space="preserve">experience </w:t>
      </w:r>
      <w:r w:rsidR="000B0B5D">
        <w:t>wa</w:t>
      </w:r>
      <w:r w:rsidR="00574FDD">
        <w:t xml:space="preserve">s </w:t>
      </w:r>
      <w:r w:rsidR="00E53090">
        <w:t xml:space="preserve">that </w:t>
      </w:r>
      <w:r w:rsidR="00574FDD">
        <w:t xml:space="preserve">limiting HEIs to a purely teaching function </w:t>
      </w:r>
      <w:r w:rsidR="009F088B">
        <w:t>i</w:t>
      </w:r>
      <w:r w:rsidR="00341604">
        <w:t>s likely to</w:t>
      </w:r>
      <w:r w:rsidR="000B0B5D">
        <w:t xml:space="preserve"> be</w:t>
      </w:r>
      <w:r w:rsidR="00574FDD">
        <w:t xml:space="preserve"> too restrictive.</w:t>
      </w:r>
      <w:r w:rsidR="00F565FA">
        <w:t xml:space="preserve"> </w:t>
      </w:r>
      <w:r>
        <w:t xml:space="preserve">Consultants </w:t>
      </w:r>
      <w:r w:rsidR="00574FDD">
        <w:t xml:space="preserve">commissioned </w:t>
      </w:r>
      <w:r>
        <w:t xml:space="preserve">to undertake an independent review </w:t>
      </w:r>
      <w:r w:rsidR="007A5288">
        <w:t xml:space="preserve">of the </w:t>
      </w:r>
      <w:r w:rsidR="00574FDD">
        <w:t xml:space="preserve">IP Wales </w:t>
      </w:r>
      <w:r w:rsidR="007A5288">
        <w:t xml:space="preserve">business support function </w:t>
      </w:r>
      <w:r w:rsidR="000B0B5D">
        <w:t>concluded</w:t>
      </w:r>
      <w:r w:rsidR="009F088B">
        <w:t>,</w:t>
      </w:r>
      <w:r w:rsidR="00574FDD">
        <w:t xml:space="preserve"> “</w:t>
      </w:r>
      <w:r w:rsidR="00574FDD" w:rsidRPr="00574FDD">
        <w:t>IP Wales offers high levels of additionality</w:t>
      </w:r>
      <w:r w:rsidR="00574FDD">
        <w:t>,</w:t>
      </w:r>
      <w:r w:rsidR="00574FDD" w:rsidRPr="00574FDD">
        <w:t xml:space="preserve"> most SMEs would do nothing about IP issues without the </w:t>
      </w:r>
      <w:r w:rsidR="00912602" w:rsidRPr="00574FDD">
        <w:t>program</w:t>
      </w:r>
      <w:r w:rsidR="00574FDD" w:rsidRPr="00574FDD">
        <w:t>. Equally, little or no displacement is likely to arise</w:t>
      </w:r>
      <w:r w:rsidR="00574FDD">
        <w:t xml:space="preserve">, </w:t>
      </w:r>
      <w:r w:rsidR="00574FDD" w:rsidRPr="00574FDD">
        <w:t>IP Wales clients would not be contacting Patent Agents or accessing other IP services in significant numbers</w:t>
      </w:r>
      <w:r w:rsidR="00574FDD">
        <w:t>”</w:t>
      </w:r>
      <w:r w:rsidR="000C60DE">
        <w:t>.</w:t>
      </w:r>
      <w:r w:rsidR="008C551C">
        <w:rPr>
          <w:rStyle w:val="FootnoteReference"/>
        </w:rPr>
        <w:footnoteReference w:id="36"/>
      </w:r>
      <w:r w:rsidR="00574FDD">
        <w:t xml:space="preserve"> Coming </w:t>
      </w:r>
      <w:r w:rsidR="000B0B5D">
        <w:t xml:space="preserve">as it did </w:t>
      </w:r>
      <w:r w:rsidR="00574FDD">
        <w:t>from the university sector</w:t>
      </w:r>
      <w:r w:rsidR="00F565FA">
        <w:t>,</w:t>
      </w:r>
      <w:r w:rsidR="00574FDD">
        <w:t xml:space="preserve"> the IP advice function of IP Wales was greatly valued by SME</w:t>
      </w:r>
      <w:r w:rsidR="008732E4">
        <w:t xml:space="preserve"> member</w:t>
      </w:r>
      <w:r w:rsidR="00574FDD">
        <w:t xml:space="preserve">s, for many </w:t>
      </w:r>
      <w:r w:rsidR="00341604">
        <w:t xml:space="preserve">actually </w:t>
      </w:r>
      <w:r w:rsidR="000B0B5D">
        <w:t xml:space="preserve">more so </w:t>
      </w:r>
      <w:r w:rsidR="00574FDD">
        <w:t>than the grant assistance</w:t>
      </w:r>
      <w:r w:rsidR="000B0B5D">
        <w:t xml:space="preserve"> on offer</w:t>
      </w:r>
      <w:r w:rsidR="00574FDD">
        <w:t>.</w:t>
      </w:r>
    </w:p>
    <w:p w:rsidR="00A66B85" w:rsidRDefault="00CA2FBC" w:rsidP="00F522AF">
      <w:pPr>
        <w:pStyle w:val="Newparagraph"/>
        <w:spacing w:line="360" w:lineRule="auto"/>
      </w:pPr>
      <w:r>
        <w:t xml:space="preserve">IP Wales has always </w:t>
      </w:r>
      <w:r w:rsidR="00CD3CB1">
        <w:t xml:space="preserve">sought to </w:t>
      </w:r>
      <w:r>
        <w:t xml:space="preserve">incorporate a vibrant research agenda to provide insight on national and international IP issues </w:t>
      </w:r>
      <w:r w:rsidR="004C2C2F">
        <w:t xml:space="preserve">and </w:t>
      </w:r>
      <w:r>
        <w:t xml:space="preserve">inform policy-making decisions. </w:t>
      </w:r>
      <w:r w:rsidR="000B0B5D" w:rsidRPr="00CA2FBC">
        <w:t xml:space="preserve">Branding oneself </w:t>
      </w:r>
      <w:r w:rsidR="000B0B5D">
        <w:t xml:space="preserve">as a research-led university is a badge of prestige within higher education but in truth UK universities often find their research strategies dictated </w:t>
      </w:r>
      <w:r w:rsidR="00341604">
        <w:t xml:space="preserve">not so much by usefulness </w:t>
      </w:r>
      <w:r w:rsidR="00566CF6">
        <w:t>as</w:t>
      </w:r>
      <w:r w:rsidR="00341604">
        <w:t xml:space="preserve"> </w:t>
      </w:r>
      <w:r w:rsidR="000B0B5D">
        <w:t>by the requirements of the research excellence framework (REF)</w:t>
      </w:r>
      <w:r w:rsidR="00331CF3">
        <w:t>.</w:t>
      </w:r>
      <w:r w:rsidR="008C551C">
        <w:rPr>
          <w:rStyle w:val="FootnoteReference"/>
        </w:rPr>
        <w:footnoteReference w:id="37"/>
      </w:r>
    </w:p>
    <w:p w:rsidR="00CA2FBC" w:rsidRDefault="00CA2FBC" w:rsidP="00F522AF">
      <w:pPr>
        <w:pStyle w:val="Newparagraph"/>
        <w:spacing w:line="360" w:lineRule="auto"/>
      </w:pPr>
      <w:r>
        <w:t xml:space="preserve">During </w:t>
      </w:r>
      <w:r w:rsidR="000C3480">
        <w:t>its</w:t>
      </w:r>
      <w:r>
        <w:t xml:space="preserve"> first phase of operation </w:t>
      </w:r>
      <w:r w:rsidR="00CD3CB1">
        <w:t xml:space="preserve">grant capture from the EU and Welsh Government for </w:t>
      </w:r>
      <w:r w:rsidR="000C3480">
        <w:t xml:space="preserve">IP Wales </w:t>
      </w:r>
      <w:r w:rsidR="00CD3CB1">
        <w:t xml:space="preserve">research activities </w:t>
      </w:r>
      <w:r w:rsidR="000C3480">
        <w:t>accounted for 99</w:t>
      </w:r>
      <w:r w:rsidR="004F2B4C">
        <w:t xml:space="preserve"> percent</w:t>
      </w:r>
      <w:r w:rsidR="000C3480">
        <w:t xml:space="preserve"> of </w:t>
      </w:r>
      <w:r w:rsidR="00CD3CB1">
        <w:t xml:space="preserve">the </w:t>
      </w:r>
      <w:r w:rsidR="00632F1F" w:rsidRPr="00F522AF">
        <w:t>Swansea</w:t>
      </w:r>
      <w:r w:rsidR="00CD3CB1">
        <w:t xml:space="preserve"> Law School </w:t>
      </w:r>
      <w:r w:rsidR="000C3480">
        <w:t>research income for the relevant RAE submission</w:t>
      </w:r>
      <w:r w:rsidR="00C22F9B">
        <w:t>,</w:t>
      </w:r>
      <w:r w:rsidR="008C551C">
        <w:rPr>
          <w:rStyle w:val="FootnoteReference"/>
        </w:rPr>
        <w:footnoteReference w:id="38"/>
      </w:r>
      <w:r w:rsidR="000C3480">
        <w:t xml:space="preserve"> with </w:t>
      </w:r>
      <w:r w:rsidR="00010013">
        <w:t>the success of th</w:t>
      </w:r>
      <w:r w:rsidR="00A87F96">
        <w:t>at</w:t>
      </w:r>
      <w:r w:rsidR="00010013">
        <w:t xml:space="preserve"> submission playing its part in enabling</w:t>
      </w:r>
      <w:r w:rsidR="000C3480">
        <w:t xml:space="preserve"> </w:t>
      </w:r>
      <w:r w:rsidR="00010013">
        <w:t xml:space="preserve">the </w:t>
      </w:r>
      <w:r w:rsidR="00C22F9B">
        <w:t>U</w:t>
      </w:r>
      <w:r w:rsidR="00010013">
        <w:t xml:space="preserve">niversity to claim </w:t>
      </w:r>
      <w:r w:rsidR="004F48BE">
        <w:t xml:space="preserve">to the UK </w:t>
      </w:r>
      <w:r w:rsidR="00010013">
        <w:t>Parliament that its “</w:t>
      </w:r>
      <w:r w:rsidR="00010013" w:rsidRPr="004F48BE">
        <w:t>research base is now a significant driver of knowledge economy activity</w:t>
      </w:r>
      <w:r w:rsidR="00010013">
        <w:t>”</w:t>
      </w:r>
      <w:r w:rsidR="00C22F9B">
        <w:t>.</w:t>
      </w:r>
      <w:r w:rsidR="008C551C">
        <w:rPr>
          <w:rStyle w:val="FootnoteReference"/>
        </w:rPr>
        <w:footnoteReference w:id="39"/>
      </w:r>
      <w:r w:rsidR="00010013">
        <w:t xml:space="preserve"> </w:t>
      </w:r>
      <w:r w:rsidR="00A87F96">
        <w:t xml:space="preserve">Moreover, research output </w:t>
      </w:r>
      <w:r w:rsidR="00A87F96">
        <w:lastRenderedPageBreak/>
        <w:t>from the IP Wales Research Director</w:t>
      </w:r>
      <w:r w:rsidR="008C551C">
        <w:rPr>
          <w:rStyle w:val="FootnoteReference"/>
        </w:rPr>
        <w:footnoteReference w:id="40"/>
      </w:r>
      <w:r w:rsidR="002D33E4">
        <w:t xml:space="preserve"> </w:t>
      </w:r>
      <w:r w:rsidR="00152D7A">
        <w:t>at th</w:t>
      </w:r>
      <w:r w:rsidR="004F48BE">
        <w:t>e</w:t>
      </w:r>
      <w:r w:rsidR="00152D7A">
        <w:t xml:space="preserve"> time </w:t>
      </w:r>
      <w:r w:rsidR="002D33E4">
        <w:t xml:space="preserve">helped </w:t>
      </w:r>
      <w:r w:rsidR="00152D7A">
        <w:t xml:space="preserve">to </w:t>
      </w:r>
      <w:r w:rsidR="002D33E4">
        <w:t xml:space="preserve">underpin his co-founding of </w:t>
      </w:r>
      <w:r w:rsidR="00632F1F">
        <w:t>I</w:t>
      </w:r>
      <w:r w:rsidR="002D33E4">
        <w:t xml:space="preserve">nngot, an IP </w:t>
      </w:r>
      <w:r w:rsidR="0023796C">
        <w:t xml:space="preserve">identification and </w:t>
      </w:r>
      <w:r w:rsidR="002D33E4">
        <w:t xml:space="preserve">valuation company, which has </w:t>
      </w:r>
      <w:r w:rsidR="00152D7A">
        <w:t>gone on to undertaken IP policy work for a range of clients, including the UKIPO.</w:t>
      </w:r>
      <w:r w:rsidR="002D33E4">
        <w:t xml:space="preserve"> </w:t>
      </w:r>
    </w:p>
    <w:p w:rsidR="004C2C2F" w:rsidRDefault="00152D7A" w:rsidP="00F522AF">
      <w:pPr>
        <w:pStyle w:val="Newparagraph"/>
        <w:spacing w:line="360" w:lineRule="auto"/>
      </w:pPr>
      <w:r>
        <w:t xml:space="preserve">During the course of the next REF </w:t>
      </w:r>
      <w:r w:rsidR="00085F7B">
        <w:t xml:space="preserve">2014 </w:t>
      </w:r>
      <w:r>
        <w:t xml:space="preserve">cycle IP Wales was commissioned by the Welsh Government to undertake research </w:t>
      </w:r>
      <w:r w:rsidR="004F48BE">
        <w:t>into</w:t>
      </w:r>
      <w:r w:rsidR="00085F7B">
        <w:t xml:space="preserve"> </w:t>
      </w:r>
      <w:r w:rsidR="008C655F">
        <w:t>“</w:t>
      </w:r>
      <w:r w:rsidR="00085F7B">
        <w:t>IP crime and eCrime</w:t>
      </w:r>
      <w:r w:rsidR="008C655F">
        <w:t>”</w:t>
      </w:r>
      <w:r w:rsidR="00C22F9B">
        <w:t>.</w:t>
      </w:r>
      <w:r w:rsidR="008C551C">
        <w:rPr>
          <w:rStyle w:val="FootnoteReference"/>
        </w:rPr>
        <w:footnoteReference w:id="41"/>
      </w:r>
      <w:r w:rsidR="00085F7B">
        <w:t xml:space="preserve"> </w:t>
      </w:r>
      <w:r w:rsidR="00EE023F">
        <w:t>Th</w:t>
      </w:r>
      <w:r w:rsidR="0056721F">
        <w:t>e commissioning of this</w:t>
      </w:r>
      <w:r w:rsidR="00EE023F">
        <w:t xml:space="preserve"> research was resultant from a presentation delivered by a local firm of solicitors</w:t>
      </w:r>
      <w:r w:rsidR="008C551C">
        <w:rPr>
          <w:rStyle w:val="FootnoteReference"/>
        </w:rPr>
        <w:footnoteReference w:id="42"/>
      </w:r>
      <w:r w:rsidR="00013953">
        <w:t>,</w:t>
      </w:r>
      <w:r w:rsidR="00EE023F">
        <w:t xml:space="preserve"> at a WIPO event</w:t>
      </w:r>
      <w:r w:rsidR="0056721F">
        <w:t xml:space="preserve"> sponsored by the Welsh Government</w:t>
      </w:r>
      <w:r w:rsidR="00C22F9B">
        <w:t>,</w:t>
      </w:r>
      <w:r w:rsidR="008C551C">
        <w:rPr>
          <w:rStyle w:val="FootnoteReference"/>
        </w:rPr>
        <w:footnoteReference w:id="43"/>
      </w:r>
      <w:r w:rsidR="0056721F">
        <w:t xml:space="preserve"> which </w:t>
      </w:r>
      <w:r w:rsidR="00013953">
        <w:t xml:space="preserve">had </w:t>
      </w:r>
      <w:r w:rsidR="0056721F">
        <w:t xml:space="preserve">highlighted the growing online threat of </w:t>
      </w:r>
      <w:r w:rsidR="00103A0D">
        <w:t xml:space="preserve">the </w:t>
      </w:r>
      <w:r w:rsidR="0056721F">
        <w:t xml:space="preserve">piracy of software under eCommerce. </w:t>
      </w:r>
      <w:r w:rsidR="00085F7B">
        <w:t xml:space="preserve">The Report </w:t>
      </w:r>
      <w:r w:rsidR="004C2C2F">
        <w:t>which</w:t>
      </w:r>
      <w:r w:rsidR="00350F18">
        <w:t xml:space="preserve"> emerged </w:t>
      </w:r>
      <w:r w:rsidR="00085F7B">
        <w:t xml:space="preserve">noted that </w:t>
      </w:r>
      <w:r w:rsidR="008C551C">
        <w:t>“</w:t>
      </w:r>
      <w:r w:rsidR="00085F7B">
        <w:t>whereas online trademark abuses and copyright infringements are well documented our understanding of the relevance of the linkage between IP</w:t>
      </w:r>
      <w:r w:rsidR="006B5A71">
        <w:t xml:space="preserve"> c</w:t>
      </w:r>
      <w:r w:rsidR="00085F7B">
        <w:t>rime and eCrime to the SME sector is still in its relative infancy”</w:t>
      </w:r>
      <w:r w:rsidR="00C22F9B">
        <w:t>.</w:t>
      </w:r>
      <w:r w:rsidR="008C551C">
        <w:rPr>
          <w:rStyle w:val="FootnoteReference"/>
        </w:rPr>
        <w:footnoteReference w:id="44"/>
      </w:r>
      <w:r w:rsidR="00085F7B">
        <w:t xml:space="preserve"> </w:t>
      </w:r>
      <w:r w:rsidR="006B5A71">
        <w:t xml:space="preserve">This </w:t>
      </w:r>
      <w:r w:rsidR="00350F18">
        <w:t xml:space="preserve">Report was regarded as a success, and it led to a second commission by the Welsh Government. Under this </w:t>
      </w:r>
      <w:r w:rsidR="006B5A71">
        <w:t>the same author concluded, “the lack of awareness of security risks, such as distributed denial of service attacks, computer hacking, identity theft and phishing attacks is astonishing in a digital age, which boasts a high level of sophisticated IT crime”</w:t>
      </w:r>
      <w:r w:rsidR="000256FE">
        <w:t>.</w:t>
      </w:r>
      <w:r w:rsidR="000D611E">
        <w:rPr>
          <w:rStyle w:val="FootnoteReference"/>
        </w:rPr>
        <w:footnoteReference w:id="45"/>
      </w:r>
      <w:r w:rsidR="00632D9B">
        <w:t xml:space="preserve"> The main message taken from the </w:t>
      </w:r>
      <w:r w:rsidR="00893AA4">
        <w:t xml:space="preserve">second </w:t>
      </w:r>
      <w:r w:rsidR="00632D9B">
        <w:t xml:space="preserve">report </w:t>
      </w:r>
      <w:r w:rsidR="00103A0D">
        <w:t xml:space="preserve">by its </w:t>
      </w:r>
      <w:r w:rsidR="00D60A34">
        <w:t>C</w:t>
      </w:r>
      <w:r w:rsidR="00103A0D">
        <w:t xml:space="preserve">ommissioner </w:t>
      </w:r>
      <w:r w:rsidR="00632D9B">
        <w:t xml:space="preserve">was the paucity of SMEs trading online. </w:t>
      </w:r>
      <w:r w:rsidR="004F48BE">
        <w:t>T</w:t>
      </w:r>
      <w:r w:rsidR="00632D9B">
        <w:t>his was not to say</w:t>
      </w:r>
      <w:r w:rsidR="00893AA4">
        <w:t>, however,</w:t>
      </w:r>
      <w:r w:rsidR="00632F1F">
        <w:t xml:space="preserve"> </w:t>
      </w:r>
      <w:r w:rsidR="004F48BE">
        <w:t>that</w:t>
      </w:r>
      <w:r w:rsidR="00632D9B">
        <w:t xml:space="preserve"> SMEs lacked any online presence</w:t>
      </w:r>
      <w:r w:rsidR="00632F1F">
        <w:t xml:space="preserve"> and the </w:t>
      </w:r>
      <w:r w:rsidR="004A6503">
        <w:t>R</w:t>
      </w:r>
      <w:r w:rsidR="00632F1F">
        <w:t>eport went on to warn</w:t>
      </w:r>
      <w:r w:rsidR="00632D9B">
        <w:t xml:space="preserve"> that </w:t>
      </w:r>
      <w:r w:rsidR="00893AA4">
        <w:t xml:space="preserve">of </w:t>
      </w:r>
      <w:r w:rsidR="00632D9B">
        <w:t xml:space="preserve">the small number of SMEs </w:t>
      </w:r>
      <w:r w:rsidR="004F48BE">
        <w:t xml:space="preserve">who were </w:t>
      </w:r>
      <w:r w:rsidR="00632D9B">
        <w:t xml:space="preserve">trading online </w:t>
      </w:r>
      <w:r w:rsidR="00E06FAC">
        <w:t xml:space="preserve">at this time </w:t>
      </w:r>
      <w:r w:rsidR="00893AA4">
        <w:t>none</w:t>
      </w:r>
      <w:r w:rsidR="00632D9B">
        <w:t xml:space="preserve"> view</w:t>
      </w:r>
      <w:r w:rsidR="00893AA4">
        <w:t>ed their</w:t>
      </w:r>
      <w:r w:rsidR="00632D9B">
        <w:t xml:space="preserve"> cybersecurity as</w:t>
      </w:r>
      <w:r w:rsidR="0018170E">
        <w:t xml:space="preserve"> </w:t>
      </w:r>
      <w:r w:rsidR="00632D9B">
        <w:t>mission critical. Only one respondent allocated 10</w:t>
      </w:r>
      <w:r w:rsidR="004F2B4C">
        <w:t xml:space="preserve"> percent</w:t>
      </w:r>
      <w:r w:rsidR="00632D9B">
        <w:t xml:space="preserve"> or more of </w:t>
      </w:r>
      <w:r w:rsidR="00D60A34">
        <w:t xml:space="preserve">even </w:t>
      </w:r>
      <w:r w:rsidR="00632D9B">
        <w:t xml:space="preserve">their IT budget for </w:t>
      </w:r>
      <w:r w:rsidR="00632F1F">
        <w:t>cyber</w:t>
      </w:r>
      <w:r w:rsidR="00632D9B">
        <w:t>security, 80</w:t>
      </w:r>
      <w:r w:rsidR="004F2B4C">
        <w:t xml:space="preserve"> percent</w:t>
      </w:r>
      <w:r w:rsidR="00632D9B">
        <w:t xml:space="preserve"> did not scan staff emails for confidential information or have any controls over the use of </w:t>
      </w:r>
      <w:r w:rsidR="00257217">
        <w:t>memory</w:t>
      </w:r>
      <w:r w:rsidR="00632D9B">
        <w:t xml:space="preserve"> sticks, 70</w:t>
      </w:r>
      <w:r w:rsidR="002042B7">
        <w:t xml:space="preserve"> percent</w:t>
      </w:r>
      <w:r w:rsidR="00632D9B">
        <w:t xml:space="preserve"> did not encrypt customer payment details and </w:t>
      </w:r>
      <w:r w:rsidR="00566CF6">
        <w:t xml:space="preserve">at that time </w:t>
      </w:r>
      <w:r w:rsidR="00632F1F">
        <w:t>almost</w:t>
      </w:r>
      <w:r w:rsidR="00632D9B">
        <w:t xml:space="preserve"> 40</w:t>
      </w:r>
      <w:r w:rsidR="002042B7">
        <w:t xml:space="preserve"> percent</w:t>
      </w:r>
      <w:r w:rsidR="00632D9B">
        <w:t xml:space="preserve"> did not </w:t>
      </w:r>
      <w:r w:rsidR="00C22F9B">
        <w:t>did not consider it necessary to</w:t>
      </w:r>
      <w:r w:rsidR="0018170E">
        <w:t xml:space="preserve"> </w:t>
      </w:r>
      <w:r w:rsidR="00632D9B">
        <w:t>encrypt their wireless network.</w:t>
      </w:r>
    </w:p>
    <w:p w:rsidR="00A66B85" w:rsidRDefault="00257217" w:rsidP="00F522AF">
      <w:pPr>
        <w:spacing w:line="360" w:lineRule="auto"/>
        <w:rPr>
          <w:rFonts w:cs="Times New Roman (Body CS)"/>
        </w:rPr>
      </w:pPr>
      <w:r>
        <w:rPr>
          <w:rFonts w:cs="Times New Roman (Body CS)"/>
        </w:rPr>
        <w:t xml:space="preserve">Using these reports </w:t>
      </w:r>
      <w:r w:rsidR="000E7ABF">
        <w:rPr>
          <w:rFonts w:cs="Times New Roman (Body CS)"/>
        </w:rPr>
        <w:t>as a</w:t>
      </w:r>
      <w:r>
        <w:rPr>
          <w:rFonts w:cs="Times New Roman (Body CS)"/>
        </w:rPr>
        <w:t xml:space="preserve"> foundation</w:t>
      </w:r>
      <w:r w:rsidR="000E7ABF">
        <w:rPr>
          <w:rFonts w:cs="Times New Roman (Body CS)"/>
        </w:rPr>
        <w:t>,</w:t>
      </w:r>
      <w:r>
        <w:rPr>
          <w:rFonts w:cs="Times New Roman (Body CS)"/>
        </w:rPr>
        <w:t xml:space="preserve"> </w:t>
      </w:r>
      <w:r w:rsidR="008174D2">
        <w:rPr>
          <w:rFonts w:cs="Times New Roman (Body CS)"/>
        </w:rPr>
        <w:t xml:space="preserve">IP Wales has </w:t>
      </w:r>
      <w:r w:rsidR="00350F18">
        <w:rPr>
          <w:rFonts w:cs="Times New Roman (Body CS)"/>
        </w:rPr>
        <w:t xml:space="preserve">since begun </w:t>
      </w:r>
      <w:r w:rsidR="008174D2">
        <w:rPr>
          <w:rFonts w:cs="Times New Roman (Body CS)"/>
        </w:rPr>
        <w:t>working with the IP service community</w:t>
      </w:r>
      <w:r w:rsidR="000D611E">
        <w:rPr>
          <w:rStyle w:val="FootnoteReference"/>
          <w:rFonts w:cs="Times New Roman (Body CS)"/>
        </w:rPr>
        <w:footnoteReference w:id="46"/>
      </w:r>
      <w:r w:rsidR="00E6074D">
        <w:rPr>
          <w:rFonts w:cs="Times New Roman (Body CS)"/>
        </w:rPr>
        <w:t xml:space="preserve"> </w:t>
      </w:r>
      <w:r>
        <w:rPr>
          <w:rFonts w:cs="Times New Roman (Body CS)"/>
        </w:rPr>
        <w:t>in the current REF 2021 cycle t</w:t>
      </w:r>
      <w:r w:rsidR="00E6074D">
        <w:rPr>
          <w:rFonts w:cs="Times New Roman (Body CS)"/>
        </w:rPr>
        <w:t xml:space="preserve">o promote </w:t>
      </w:r>
      <w:r w:rsidR="000E7ABF">
        <w:rPr>
          <w:rFonts w:cs="Times New Roman (Body CS)"/>
        </w:rPr>
        <w:t>the</w:t>
      </w:r>
      <w:r w:rsidR="00E6074D">
        <w:rPr>
          <w:rFonts w:cs="Times New Roman (Body CS)"/>
        </w:rPr>
        <w:t xml:space="preserve"> impact of </w:t>
      </w:r>
      <w:r w:rsidR="004F48BE">
        <w:rPr>
          <w:rFonts w:cs="Times New Roman (Body CS)"/>
        </w:rPr>
        <w:t>new</w:t>
      </w:r>
      <w:r w:rsidR="00E6074D">
        <w:rPr>
          <w:rFonts w:cs="Times New Roman (Body CS)"/>
        </w:rPr>
        <w:t xml:space="preserve"> research into the </w:t>
      </w:r>
      <w:r w:rsidR="00E6074D">
        <w:rPr>
          <w:rFonts w:cs="Times New Roman (Body CS)"/>
        </w:rPr>
        <w:lastRenderedPageBreak/>
        <w:t>online protection of undisclosed information</w:t>
      </w:r>
      <w:r w:rsidR="00A25429">
        <w:rPr>
          <w:rFonts w:cs="Times New Roman (Body CS)"/>
        </w:rPr>
        <w:t>,</w:t>
      </w:r>
      <w:r w:rsidR="000D611E">
        <w:rPr>
          <w:rStyle w:val="FootnoteReference"/>
          <w:rFonts w:cs="Times New Roman (Body CS)"/>
        </w:rPr>
        <w:footnoteReference w:id="47"/>
      </w:r>
      <w:r w:rsidR="00E6074D">
        <w:rPr>
          <w:rFonts w:cs="Times New Roman (Body CS)"/>
        </w:rPr>
        <w:t xml:space="preserve"> by encouraging SMEs to adopt new methodologies and processes to protect </w:t>
      </w:r>
      <w:r w:rsidR="004F48BE">
        <w:rPr>
          <w:rFonts w:cs="Times New Roman (Body CS)"/>
        </w:rPr>
        <w:t xml:space="preserve">their </w:t>
      </w:r>
      <w:r w:rsidR="00E6074D">
        <w:rPr>
          <w:rFonts w:cs="Times New Roman (Body CS)"/>
        </w:rPr>
        <w:t>online commercial activities.</w:t>
      </w:r>
      <w:r w:rsidR="0018170E">
        <w:rPr>
          <w:rFonts w:cs="Times New Roman (Body CS)"/>
        </w:rPr>
        <w:t xml:space="preserve"> </w:t>
      </w:r>
    </w:p>
    <w:p w:rsidR="00350F18" w:rsidRPr="000D611E" w:rsidRDefault="0018170E" w:rsidP="00F522AF">
      <w:pPr>
        <w:pStyle w:val="Newparagraph"/>
        <w:spacing w:line="360" w:lineRule="auto"/>
      </w:pPr>
      <w:r w:rsidRPr="000612C8">
        <w:t>The UK Trade Secrets (Enforcement</w:t>
      </w:r>
      <w:r w:rsidR="000256FE">
        <w:t>,</w:t>
      </w:r>
      <w:r w:rsidRPr="000612C8">
        <w:t xml:space="preserve"> etc</w:t>
      </w:r>
      <w:r w:rsidR="000256FE">
        <w:t>.</w:t>
      </w:r>
      <w:r w:rsidRPr="000612C8">
        <w:t>) Regulations 2018</w:t>
      </w:r>
      <w:r w:rsidR="000D611E">
        <w:rPr>
          <w:rStyle w:val="FootnoteReference"/>
        </w:rPr>
        <w:footnoteReference w:id="48"/>
      </w:r>
      <w:r w:rsidRPr="000612C8">
        <w:t xml:space="preserve"> brought into force EU Directive 2016/943 </w:t>
      </w:r>
      <w:r w:rsidRPr="004A6503">
        <w:rPr>
          <w:i/>
          <w:iCs/>
        </w:rPr>
        <w:t>on the protection of undisclosed know-how and business information (trade secrets) against their unlawful acquisition, use and disclosure</w:t>
      </w:r>
      <w:r w:rsidRPr="000612C8">
        <w:t>. When introducing this Directive the EU Commission recogni</w:t>
      </w:r>
      <w:r w:rsidR="006A347E">
        <w:t>z</w:t>
      </w:r>
      <w:r w:rsidRPr="000612C8">
        <w:t>ed that</w:t>
      </w:r>
      <w:r w:rsidR="008922AE" w:rsidRPr="000612C8">
        <w:t>,</w:t>
      </w:r>
      <w:r w:rsidRPr="000612C8">
        <w:t xml:space="preserve"> whereas large businesses may value trade secrets as much as patents and other forms of intellectual property, SMEs value and rely on trade secrets even more. </w:t>
      </w:r>
      <w:r w:rsidR="00350F18" w:rsidRPr="000612C8">
        <w:t xml:space="preserve">The </w:t>
      </w:r>
      <w:r w:rsidRPr="000612C8">
        <w:t>537 firms surveyed by the EU Commission counted commercial bid documents and contracts as their most valuable trade secret</w:t>
      </w:r>
      <w:r w:rsidR="004A6503">
        <w:t>s</w:t>
      </w:r>
      <w:r w:rsidRPr="000612C8">
        <w:t xml:space="preserve"> data</w:t>
      </w:r>
      <w:r w:rsidR="000256FE">
        <w:t>.</w:t>
      </w:r>
      <w:r w:rsidR="000D611E">
        <w:rPr>
          <w:rStyle w:val="FootnoteReference"/>
        </w:rPr>
        <w:footnoteReference w:id="49"/>
      </w:r>
      <w:r w:rsidR="00350F18" w:rsidRPr="000612C8">
        <w:t xml:space="preserve"> However, </w:t>
      </w:r>
      <w:r w:rsidR="004238A5" w:rsidRPr="000612C8">
        <w:t>research out of the US</w:t>
      </w:r>
      <w:r w:rsidRPr="000612C8">
        <w:t xml:space="preserve">A </w:t>
      </w:r>
      <w:r w:rsidR="00350F18" w:rsidRPr="000612C8">
        <w:t xml:space="preserve">has </w:t>
      </w:r>
      <w:r w:rsidRPr="000612C8">
        <w:t>identifie</w:t>
      </w:r>
      <w:r w:rsidR="000E7ABF" w:rsidRPr="000612C8">
        <w:t>d</w:t>
      </w:r>
      <w:r w:rsidRPr="000612C8">
        <w:t xml:space="preserve"> technical information and know-how, internal business information and customer lists as the most likely trade secrets to be stolen</w:t>
      </w:r>
      <w:r w:rsidR="00350F18" w:rsidRPr="000612C8">
        <w:t xml:space="preserve"> (furthermore</w:t>
      </w:r>
      <w:r w:rsidRPr="000612C8">
        <w:t>, in over 90</w:t>
      </w:r>
      <w:r w:rsidR="002042B7">
        <w:t xml:space="preserve"> percent</w:t>
      </w:r>
      <w:r w:rsidRPr="000612C8">
        <w:t xml:space="preserve"> of trade </w:t>
      </w:r>
      <w:r w:rsidR="004238A5" w:rsidRPr="000612C8">
        <w:t xml:space="preserve">secrets cases </w:t>
      </w:r>
      <w:r w:rsidR="00912602" w:rsidRPr="000612C8">
        <w:t>analyzed</w:t>
      </w:r>
      <w:r w:rsidR="004238A5" w:rsidRPr="000612C8">
        <w:t xml:space="preserve"> in the USA</w:t>
      </w:r>
      <w:r w:rsidRPr="000612C8">
        <w:t xml:space="preserve"> the defendant was an employee, or former employee or otherwise a business partner</w:t>
      </w:r>
      <w:r w:rsidR="004C2C2F" w:rsidRPr="000612C8">
        <w:t>)</w:t>
      </w:r>
      <w:r w:rsidRPr="000612C8">
        <w:t>.</w:t>
      </w:r>
      <w:r w:rsidR="000D611E">
        <w:rPr>
          <w:rStyle w:val="FootnoteReference"/>
        </w:rPr>
        <w:footnoteReference w:id="50"/>
      </w:r>
    </w:p>
    <w:p w:rsidR="00AD7D0D" w:rsidRPr="000D611E" w:rsidRDefault="00E037A3" w:rsidP="00F522AF">
      <w:pPr>
        <w:pStyle w:val="Heading1"/>
      </w:pPr>
      <w:r w:rsidRPr="000D611E">
        <w:t>I</w:t>
      </w:r>
      <w:r w:rsidR="00651F86" w:rsidRPr="000D611E">
        <w:t>nsights</w:t>
      </w:r>
      <w:r w:rsidR="004A6503">
        <w:t xml:space="preserve"> for the academic lawyer</w:t>
      </w:r>
    </w:p>
    <w:p w:rsidR="00D30CF1" w:rsidRPr="000D611E" w:rsidRDefault="00D30CF1" w:rsidP="00F522AF">
      <w:pPr>
        <w:pStyle w:val="Heading2"/>
      </w:pPr>
      <w:r w:rsidRPr="000D611E">
        <w:rPr>
          <w:rFonts w:hint="cs"/>
        </w:rPr>
        <w:t>A – Business Support</w:t>
      </w:r>
    </w:p>
    <w:p w:rsidR="008D5656" w:rsidRDefault="00C8171D" w:rsidP="00F522AF">
      <w:pPr>
        <w:pStyle w:val="Paragraph"/>
        <w:spacing w:line="360" w:lineRule="auto"/>
      </w:pPr>
      <w:r>
        <w:t xml:space="preserve">IP Wales has been a unique business support project for any law school to manage. The challenge has lain not only in </w:t>
      </w:r>
      <w:r w:rsidR="00317AAA">
        <w:t xml:space="preserve">supervising IP Wales’s own activity </w:t>
      </w:r>
      <w:r>
        <w:t xml:space="preserve">but also </w:t>
      </w:r>
      <w:r w:rsidR="008922AE">
        <w:t xml:space="preserve">in </w:t>
      </w:r>
      <w:r>
        <w:t xml:space="preserve">ensuring that SMEs </w:t>
      </w:r>
      <w:r w:rsidR="008922AE">
        <w:t xml:space="preserve">outside of Wales </w:t>
      </w:r>
      <w:r w:rsidR="00317AAA">
        <w:t>can</w:t>
      </w:r>
      <w:r>
        <w:t xml:space="preserve"> benefit from its insights.</w:t>
      </w:r>
      <w:r w:rsidR="000D611E">
        <w:rPr>
          <w:rStyle w:val="FootnoteReference"/>
        </w:rPr>
        <w:footnoteReference w:id="51"/>
      </w:r>
      <w:r>
        <w:t xml:space="preserve"> </w:t>
      </w:r>
      <w:r w:rsidR="005C1F9C">
        <w:t xml:space="preserve">When seconding the Director of IP Wales to work at the </w:t>
      </w:r>
      <w:r w:rsidR="00220EDD">
        <w:t xml:space="preserve">(then) </w:t>
      </w:r>
      <w:r w:rsidR="005C1F9C">
        <w:t xml:space="preserve">SME Division </w:t>
      </w:r>
      <w:r w:rsidR="00220EDD">
        <w:t>at the World Intellectual Property Organi</w:t>
      </w:r>
      <w:r w:rsidR="006A347E">
        <w:t>z</w:t>
      </w:r>
      <w:r w:rsidR="00220EDD">
        <w:t>ation (</w:t>
      </w:r>
      <w:r w:rsidR="005C1F9C">
        <w:t>WIPO</w:t>
      </w:r>
      <w:r w:rsidR="00220EDD">
        <w:t>)</w:t>
      </w:r>
      <w:r w:rsidR="005C1F9C">
        <w:t xml:space="preserve">, </w:t>
      </w:r>
      <w:r w:rsidR="00317AAA">
        <w:t>the</w:t>
      </w:r>
      <w:r w:rsidR="005C1F9C">
        <w:t xml:space="preserve"> head </w:t>
      </w:r>
      <w:r w:rsidR="004C2C2F">
        <w:t xml:space="preserve">of the Division </w:t>
      </w:r>
      <w:r w:rsidR="005C1F9C">
        <w:t xml:space="preserve">observed that with a population of </w:t>
      </w:r>
      <w:r w:rsidR="00013953">
        <w:t>circa.</w:t>
      </w:r>
      <w:r w:rsidR="005C1F9C">
        <w:t xml:space="preserve"> 3 million Wales </w:t>
      </w:r>
      <w:r w:rsidR="00013953">
        <w:t>wa</w:t>
      </w:r>
      <w:r w:rsidR="005C1F9C">
        <w:t>s big enough to count</w:t>
      </w:r>
      <w:r w:rsidR="000E7ABF">
        <w:t>,</w:t>
      </w:r>
      <w:r w:rsidR="005C1F9C">
        <w:t xml:space="preserve"> yet small enough to manage as an observatory on SME use of the IP system.</w:t>
      </w:r>
      <w:r w:rsidR="000D611E">
        <w:rPr>
          <w:rStyle w:val="FootnoteReference"/>
        </w:rPr>
        <w:footnoteReference w:id="52"/>
      </w:r>
      <w:r w:rsidR="005C1F9C">
        <w:t xml:space="preserve"> </w:t>
      </w:r>
    </w:p>
    <w:p w:rsidR="00B624AD" w:rsidRPr="006D7879" w:rsidRDefault="008D5656" w:rsidP="00F522AF">
      <w:pPr>
        <w:pStyle w:val="Newparagraph"/>
        <w:spacing w:line="360" w:lineRule="auto"/>
      </w:pPr>
      <w:r>
        <w:lastRenderedPageBreak/>
        <w:t xml:space="preserve">Given their significance to the </w:t>
      </w:r>
      <w:r w:rsidR="006D7879">
        <w:t xml:space="preserve">UK </w:t>
      </w:r>
      <w:r>
        <w:t>national infrastructure</w:t>
      </w:r>
      <w:r w:rsidR="00317AAA">
        <w:t>,</w:t>
      </w:r>
      <w:r>
        <w:t xml:space="preserve"> the recently created </w:t>
      </w:r>
      <w:r w:rsidR="0022600E">
        <w:t xml:space="preserve">UK </w:t>
      </w:r>
      <w:r>
        <w:t xml:space="preserve">National Cyber Security Centre </w:t>
      </w:r>
      <w:r w:rsidR="00BD5F86">
        <w:t xml:space="preserve">(NCSC) </w:t>
      </w:r>
      <w:r>
        <w:t>has</w:t>
      </w:r>
      <w:r w:rsidR="00BD5F86">
        <w:t>,</w:t>
      </w:r>
      <w:r>
        <w:t xml:space="preserve"> </w:t>
      </w:r>
      <w:r w:rsidR="00BD5F86">
        <w:t>not unnaturally perhaps,</w:t>
      </w:r>
      <w:r>
        <w:t xml:space="preserve"> </w:t>
      </w:r>
      <w:r w:rsidR="00912602">
        <w:t>focused</w:t>
      </w:r>
      <w:r>
        <w:t xml:space="preserve"> its efforts to date on the 0.1</w:t>
      </w:r>
      <w:r w:rsidR="004F2B4C">
        <w:t xml:space="preserve"> percent</w:t>
      </w:r>
      <w:r>
        <w:t xml:space="preserve"> of larger </w:t>
      </w:r>
      <w:r w:rsidR="00675042">
        <w:t xml:space="preserve">UK </w:t>
      </w:r>
      <w:r>
        <w:t>businesses</w:t>
      </w:r>
      <w:r w:rsidR="00317AAA">
        <w:t>.</w:t>
      </w:r>
      <w:r>
        <w:t xml:space="preserve"> SMEs are </w:t>
      </w:r>
      <w:r w:rsidR="00317AAA">
        <w:t xml:space="preserve">nevertheless </w:t>
      </w:r>
      <w:r>
        <w:t>serv</w:t>
      </w:r>
      <w:r w:rsidR="00675042">
        <w:t>iced via a Guide heralded by its Chief Executive as</w:t>
      </w:r>
      <w:r w:rsidR="00F85A46">
        <w:t xml:space="preserve"> </w:t>
      </w:r>
      <w:r w:rsidR="00675042">
        <w:t>“one</w:t>
      </w:r>
      <w:r w:rsidR="00F85A46">
        <w:t xml:space="preserve"> </w:t>
      </w:r>
      <w:r w:rsidR="00675042">
        <w:t>of the first in the world specifically for SMEs”</w:t>
      </w:r>
      <w:r w:rsidR="00A25429">
        <w:t>.</w:t>
      </w:r>
      <w:r w:rsidR="000D611E">
        <w:rPr>
          <w:rStyle w:val="FootnoteReference"/>
        </w:rPr>
        <w:footnoteReference w:id="53"/>
      </w:r>
      <w:r w:rsidR="006D7879">
        <w:t xml:space="preserve"> Yet o</w:t>
      </w:r>
      <w:r w:rsidR="00F85A46">
        <w:t xml:space="preserve">ne insight </w:t>
      </w:r>
      <w:r w:rsidR="006D7879">
        <w:t xml:space="preserve">IP Wales is able to </w:t>
      </w:r>
      <w:r w:rsidR="00F85A46">
        <w:t>offer from</w:t>
      </w:r>
      <w:r w:rsidR="00675042">
        <w:t xml:space="preserve"> </w:t>
      </w:r>
      <w:r w:rsidR="006D7879">
        <w:t xml:space="preserve">its current </w:t>
      </w:r>
      <w:r w:rsidR="00F85A46">
        <w:t xml:space="preserve">work with the IP service community and cybersecurity specialist firms </w:t>
      </w:r>
      <w:r w:rsidR="00B02EB8" w:rsidRPr="00B02EB8">
        <w:t xml:space="preserve">is </w:t>
      </w:r>
      <w:r w:rsidR="00B02EB8">
        <w:t>the urgent</w:t>
      </w:r>
      <w:r w:rsidR="00B02EB8" w:rsidRPr="00B02EB8">
        <w:t xml:space="preserve"> need to raise awareness </w:t>
      </w:r>
      <w:r w:rsidR="00B02EB8">
        <w:t>and</w:t>
      </w:r>
      <w:r w:rsidR="00B02EB8" w:rsidRPr="00B02EB8">
        <w:t xml:space="preserve"> understanding amongst IP active SMEs about the importance of cyber risk management </w:t>
      </w:r>
      <w:r w:rsidR="00317AAA">
        <w:t xml:space="preserve">and the preservation </w:t>
      </w:r>
      <w:r w:rsidR="00B02EB8" w:rsidRPr="00B02EB8">
        <w:t>of trade secrets</w:t>
      </w:r>
      <w:r w:rsidR="0084512E">
        <w:t>,</w:t>
      </w:r>
      <w:r w:rsidR="00B02EB8" w:rsidRPr="00B02EB8">
        <w:t xml:space="preserve"> as </w:t>
      </w:r>
      <w:r w:rsidR="00B624AD">
        <w:t>a function</w:t>
      </w:r>
      <w:r w:rsidR="00B02EB8" w:rsidRPr="00B02EB8">
        <w:t xml:space="preserve"> of </w:t>
      </w:r>
      <w:r w:rsidR="002A6588">
        <w:t>b</w:t>
      </w:r>
      <w:r w:rsidR="00B02EB8" w:rsidRPr="00B02EB8">
        <w:t xml:space="preserve">oard level </w:t>
      </w:r>
      <w:r w:rsidR="002A6588">
        <w:t>c</w:t>
      </w:r>
      <w:r w:rsidR="00B02EB8" w:rsidRPr="00B02EB8">
        <w:t xml:space="preserve">orporate </w:t>
      </w:r>
      <w:r w:rsidR="002A6588">
        <w:t>g</w:t>
      </w:r>
      <w:r w:rsidR="00B02EB8" w:rsidRPr="00B02EB8">
        <w:t>overnance.</w:t>
      </w:r>
      <w:r w:rsidR="000D611E">
        <w:rPr>
          <w:rStyle w:val="FootnoteReference"/>
        </w:rPr>
        <w:footnoteReference w:id="54"/>
      </w:r>
    </w:p>
    <w:p w:rsidR="00317AAA" w:rsidRDefault="00BA1F06" w:rsidP="00F522AF">
      <w:pPr>
        <w:pStyle w:val="Newparagraph"/>
        <w:spacing w:line="360" w:lineRule="auto"/>
      </w:pPr>
      <w:r w:rsidRPr="00B02EB8">
        <w:t>Whilst raising awareness of cyber risk management is recogni</w:t>
      </w:r>
      <w:r w:rsidR="00495B8F">
        <w:t>z</w:t>
      </w:r>
      <w:r w:rsidRPr="00B02EB8">
        <w:t xml:space="preserve">ed </w:t>
      </w:r>
      <w:r w:rsidR="00566CF6">
        <w:t xml:space="preserve">by the UK Government </w:t>
      </w:r>
      <w:r w:rsidRPr="00B02EB8">
        <w:t xml:space="preserve">to be “a really challenging area”, </w:t>
      </w:r>
      <w:r w:rsidR="00566CF6">
        <w:t>its policy</w:t>
      </w:r>
      <w:r w:rsidR="00D469B0">
        <w:t xml:space="preserve"> of </w:t>
      </w:r>
      <w:r w:rsidR="008C655F">
        <w:t>“</w:t>
      </w:r>
      <w:r w:rsidRPr="00B02EB8">
        <w:t>catalytic</w:t>
      </w:r>
      <w:r w:rsidR="008C655F">
        <w:t>”</w:t>
      </w:r>
      <w:r w:rsidRPr="00B02EB8">
        <w:t xml:space="preserve"> intervention to promote cyber resilience within UK innovative businesses is considered </w:t>
      </w:r>
      <w:r w:rsidR="00103A0D">
        <w:t xml:space="preserve">to be </w:t>
      </w:r>
      <w:r w:rsidRPr="00B02EB8">
        <w:t>a</w:t>
      </w:r>
      <w:r w:rsidR="00955AF0">
        <w:t xml:space="preserve"> </w:t>
      </w:r>
      <w:r w:rsidRPr="00B02EB8">
        <w:t>”tier one priority”</w:t>
      </w:r>
      <w:r w:rsidR="00955AF0">
        <w:t>.</w:t>
      </w:r>
      <w:r w:rsidR="000D611E">
        <w:rPr>
          <w:rStyle w:val="FootnoteReference"/>
        </w:rPr>
        <w:footnoteReference w:id="55"/>
      </w:r>
      <w:r w:rsidRPr="00B02EB8">
        <w:t xml:space="preserve"> Trade Secrets are recogni</w:t>
      </w:r>
      <w:r w:rsidR="00495B8F">
        <w:t>z</w:t>
      </w:r>
      <w:r w:rsidRPr="00B02EB8">
        <w:t>ed by the UK Government as constituting valuable business assets which can be used alongside</w:t>
      </w:r>
      <w:r w:rsidR="00B624AD">
        <w:t>,</w:t>
      </w:r>
      <w:r w:rsidRPr="00B02EB8">
        <w:t xml:space="preserve"> or as an alternative to formal intellectual property</w:t>
      </w:r>
      <w:r w:rsidR="00955AF0">
        <w:t xml:space="preserve"> such as</w:t>
      </w:r>
      <w:r w:rsidRPr="00B02EB8">
        <w:t xml:space="preserve"> trademarks, patents, industrial designs, copyright etc</w:t>
      </w:r>
      <w:r w:rsidR="00220EDD">
        <w:t>.</w:t>
      </w:r>
      <w:r w:rsidRPr="00B02EB8">
        <w:t>.</w:t>
      </w:r>
      <w:r w:rsidR="000D611E">
        <w:rPr>
          <w:rStyle w:val="FootnoteReference"/>
        </w:rPr>
        <w:footnoteReference w:id="56"/>
      </w:r>
      <w:r w:rsidR="00663B62">
        <w:t xml:space="preserve"> </w:t>
      </w:r>
    </w:p>
    <w:p w:rsidR="006D7879" w:rsidRDefault="00317AAA" w:rsidP="00F522AF">
      <w:pPr>
        <w:pStyle w:val="Newparagraph"/>
        <w:spacing w:line="360" w:lineRule="auto"/>
      </w:pPr>
      <w:r>
        <w:t>In this connection t</w:t>
      </w:r>
      <w:r w:rsidR="00BA1F06" w:rsidRPr="00B02EB8">
        <w:t xml:space="preserve">he </w:t>
      </w:r>
      <w:r w:rsidR="00BA1F06" w:rsidRPr="004238A5">
        <w:t>Trade Secrets (Enforcement</w:t>
      </w:r>
      <w:r w:rsidR="00301F7F">
        <w:t>,</w:t>
      </w:r>
      <w:r w:rsidR="00BA1F06" w:rsidRPr="004238A5">
        <w:t xml:space="preserve"> etc.) Regulations 2018</w:t>
      </w:r>
      <w:r w:rsidR="00BA1F06" w:rsidRPr="00B02EB8">
        <w:rPr>
          <w:i/>
        </w:rPr>
        <w:t xml:space="preserve"> </w:t>
      </w:r>
      <w:r>
        <w:rPr>
          <w:iCs/>
        </w:rPr>
        <w:t>have implemented an</w:t>
      </w:r>
      <w:r w:rsidR="00037B3A">
        <w:rPr>
          <w:iCs/>
        </w:rPr>
        <w:t xml:space="preserve"> EU common framework</w:t>
      </w:r>
      <w:r w:rsidR="00271154">
        <w:rPr>
          <w:iCs/>
        </w:rPr>
        <w:t xml:space="preserve"> definition for a </w:t>
      </w:r>
      <w:r w:rsidR="008C655F">
        <w:rPr>
          <w:iCs/>
        </w:rPr>
        <w:t>“</w:t>
      </w:r>
      <w:r w:rsidR="00271154">
        <w:rPr>
          <w:iCs/>
        </w:rPr>
        <w:t>trade secret</w:t>
      </w:r>
      <w:r w:rsidR="008C655F">
        <w:rPr>
          <w:iCs/>
        </w:rPr>
        <w:t>”</w:t>
      </w:r>
      <w:r w:rsidR="00271154">
        <w:rPr>
          <w:iCs/>
        </w:rPr>
        <w:t xml:space="preserve"> and</w:t>
      </w:r>
      <w:r w:rsidR="00C22D0C">
        <w:rPr>
          <w:iCs/>
        </w:rPr>
        <w:t>, in the view of the UK government,</w:t>
      </w:r>
      <w:r w:rsidR="00271154">
        <w:rPr>
          <w:iCs/>
        </w:rPr>
        <w:t xml:space="preserve"> </w:t>
      </w:r>
      <w:r w:rsidR="001E0984">
        <w:t>are</w:t>
      </w:r>
      <w:r w:rsidR="00BA1F06" w:rsidRPr="00B02EB8">
        <w:t xml:space="preserve"> </w:t>
      </w:r>
      <w:r>
        <w:t xml:space="preserve">well </w:t>
      </w:r>
      <w:r w:rsidR="00013953">
        <w:t>placed</w:t>
      </w:r>
      <w:r>
        <w:t xml:space="preserve"> to provid</w:t>
      </w:r>
      <w:r w:rsidR="00013953">
        <w:t>e</w:t>
      </w:r>
      <w:r>
        <w:t xml:space="preserve"> a benefit </w:t>
      </w:r>
      <w:r w:rsidR="00BA1F06" w:rsidRPr="00B02EB8">
        <w:t xml:space="preserve">to </w:t>
      </w:r>
      <w:r w:rsidR="00220EDD">
        <w:t xml:space="preserve">UK </w:t>
      </w:r>
      <w:r w:rsidR="008922AE">
        <w:t>SMEs</w:t>
      </w:r>
      <w:r w:rsidR="00BA1F06" w:rsidRPr="00B02EB8">
        <w:t xml:space="preserve"> by clarifying how to protect their trade secrets whe</w:t>
      </w:r>
      <w:r w:rsidR="00271154">
        <w:t>n</w:t>
      </w:r>
      <w:r w:rsidR="00BA1F06" w:rsidRPr="00B02EB8">
        <w:t xml:space="preserve"> misappropriated</w:t>
      </w:r>
      <w:r w:rsidR="00301F7F">
        <w:t>.</w:t>
      </w:r>
      <w:r w:rsidR="00C73B66">
        <w:rPr>
          <w:rStyle w:val="FootnoteReference"/>
        </w:rPr>
        <w:footnoteReference w:id="57"/>
      </w:r>
    </w:p>
    <w:p w:rsidR="00164A00" w:rsidRPr="001D3040" w:rsidRDefault="00271154" w:rsidP="00F522AF">
      <w:pPr>
        <w:pStyle w:val="Newparagraph"/>
        <w:spacing w:line="360" w:lineRule="auto"/>
      </w:pPr>
      <w:r>
        <w:t xml:space="preserve">The UK government </w:t>
      </w:r>
      <w:r w:rsidR="008922AE">
        <w:t>take</w:t>
      </w:r>
      <w:r w:rsidR="00317AAA">
        <w:t>s</w:t>
      </w:r>
      <w:r>
        <w:t xml:space="preserve"> the view </w:t>
      </w:r>
      <w:r w:rsidR="00037B3A">
        <w:t xml:space="preserve">that the </w:t>
      </w:r>
      <w:r w:rsidR="004238A5">
        <w:t xml:space="preserve">EU </w:t>
      </w:r>
      <w:r w:rsidR="00037B3A">
        <w:t xml:space="preserve">Directive is broadly reflective of existing common law </w:t>
      </w:r>
      <w:r w:rsidR="008922AE">
        <w:t xml:space="preserve">rules </w:t>
      </w:r>
      <w:r w:rsidR="00037B3A">
        <w:t>appertaining to confidential information.</w:t>
      </w:r>
      <w:r w:rsidR="00C73B66">
        <w:rPr>
          <w:rStyle w:val="FootnoteReference"/>
        </w:rPr>
        <w:footnoteReference w:id="58"/>
      </w:r>
      <w:r w:rsidR="00037B3A">
        <w:t xml:space="preserve"> </w:t>
      </w:r>
      <w:r w:rsidR="00443179">
        <w:t xml:space="preserve">In </w:t>
      </w:r>
      <w:r w:rsidR="00443179">
        <w:rPr>
          <w:i/>
          <w:iCs/>
        </w:rPr>
        <w:t xml:space="preserve">Gurry on Breach of Confidence </w:t>
      </w:r>
      <w:r w:rsidR="00443179">
        <w:t xml:space="preserve">it is noted that </w:t>
      </w:r>
      <w:r w:rsidR="00220EDD">
        <w:t xml:space="preserve">the </w:t>
      </w:r>
      <w:r w:rsidR="00443179">
        <w:t xml:space="preserve">UK courts have tended to use the term </w:t>
      </w:r>
      <w:r w:rsidR="008C655F">
        <w:t>“</w:t>
      </w:r>
      <w:r w:rsidR="00443179">
        <w:t>trade secret</w:t>
      </w:r>
      <w:r w:rsidR="008C655F">
        <w:t>”</w:t>
      </w:r>
      <w:r w:rsidR="00443179">
        <w:t xml:space="preserve"> in one of two ways, either </w:t>
      </w:r>
      <w:r w:rsidR="00B137EE">
        <w:t>for</w:t>
      </w:r>
      <w:r w:rsidR="00443179">
        <w:t xml:space="preserve"> </w:t>
      </w:r>
      <w:r w:rsidR="00B137EE">
        <w:t xml:space="preserve">post-employment restraints legitimately imposed on former employees or </w:t>
      </w:r>
      <w:r w:rsidR="00317AAA">
        <w:t xml:space="preserve"> (rather more relevantly here)</w:t>
      </w:r>
      <w:r w:rsidR="003B502F">
        <w:t xml:space="preserve"> </w:t>
      </w:r>
      <w:r w:rsidR="00B137EE">
        <w:t>“as a synonym for commercial or industrial confidential information…</w:t>
      </w:r>
      <w:r w:rsidR="00144CC9">
        <w:t xml:space="preserve">(with) </w:t>
      </w:r>
      <w:r w:rsidR="007F2244">
        <w:t>two classes of trade secrets: technical secrets and business secrets”</w:t>
      </w:r>
      <w:r w:rsidR="00301F7F">
        <w:t>.</w:t>
      </w:r>
      <w:r w:rsidR="00C73B66">
        <w:rPr>
          <w:rStyle w:val="FootnoteReference"/>
        </w:rPr>
        <w:footnoteReference w:id="59"/>
      </w:r>
      <w:r w:rsidR="007F2244">
        <w:t xml:space="preserve"> </w:t>
      </w:r>
      <w:r w:rsidR="005A6B56">
        <w:lastRenderedPageBreak/>
        <w:t xml:space="preserve">Nevertheless, the implementation of the Directive does allow for some </w:t>
      </w:r>
      <w:r w:rsidR="00013953">
        <w:t xml:space="preserve">important </w:t>
      </w:r>
      <w:r w:rsidR="005A6B56">
        <w:t xml:space="preserve">potential changes in the </w:t>
      </w:r>
      <w:r w:rsidR="00103A0D">
        <w:t xml:space="preserve">immediate </w:t>
      </w:r>
      <w:r w:rsidR="005A6B56">
        <w:t xml:space="preserve">future, with SMEs </w:t>
      </w:r>
      <w:r w:rsidR="002A12AC">
        <w:t>forced</w:t>
      </w:r>
      <w:r w:rsidR="005A6B56">
        <w:t xml:space="preserve"> to fall back </w:t>
      </w:r>
      <w:r w:rsidR="00220EDD">
        <w:t>up</w:t>
      </w:r>
      <w:r w:rsidR="005A6B56">
        <w:t>on</w:t>
      </w:r>
      <w:r w:rsidR="002A12AC">
        <w:t xml:space="preserve"> </w:t>
      </w:r>
      <w:r w:rsidR="005A6B56">
        <w:t xml:space="preserve">the </w:t>
      </w:r>
      <w:r w:rsidR="002A12AC">
        <w:t xml:space="preserve">uncertainties </w:t>
      </w:r>
      <w:r w:rsidR="000E7ABF">
        <w:t xml:space="preserve">and </w:t>
      </w:r>
      <w:r w:rsidR="00301F7F">
        <w:t xml:space="preserve">likely </w:t>
      </w:r>
      <w:r w:rsidR="00220EDD">
        <w:t>greater</w:t>
      </w:r>
      <w:r w:rsidR="000E7ABF">
        <w:t xml:space="preserve"> expense of the </w:t>
      </w:r>
      <w:r w:rsidR="005A6B56">
        <w:t>common law</w:t>
      </w:r>
      <w:r w:rsidR="00C73B66">
        <w:rPr>
          <w:rStyle w:val="FootnoteReference"/>
        </w:rPr>
        <w:footnoteReference w:id="60"/>
      </w:r>
      <w:r w:rsidR="005A6B56">
        <w:t xml:space="preserve"> </w:t>
      </w:r>
      <w:r w:rsidR="008922AE">
        <w:t>if</w:t>
      </w:r>
      <w:r w:rsidR="005A6B56">
        <w:t xml:space="preserve"> they </w:t>
      </w:r>
      <w:r w:rsidR="00103A0D">
        <w:t>cannot</w:t>
      </w:r>
      <w:r w:rsidR="005A6B56">
        <w:t xml:space="preserve"> satisf</w:t>
      </w:r>
      <w:r w:rsidR="00220EDD">
        <w:t>y</w:t>
      </w:r>
      <w:r w:rsidR="005A6B56">
        <w:t xml:space="preserve"> </w:t>
      </w:r>
      <w:r w:rsidR="00220EDD">
        <w:t xml:space="preserve">the </w:t>
      </w:r>
      <w:r w:rsidR="005A6B56">
        <w:t>civil court</w:t>
      </w:r>
      <w:r w:rsidR="004238A5">
        <w:t>s</w:t>
      </w:r>
      <w:r w:rsidR="00802288">
        <w:t xml:space="preserve"> that they have taken </w:t>
      </w:r>
      <w:r w:rsidR="00BA1F06" w:rsidRPr="00663B62">
        <w:rPr>
          <w:b/>
          <w:i/>
          <w:iCs/>
        </w:rPr>
        <w:t xml:space="preserve">reasonable steps </w:t>
      </w:r>
      <w:r w:rsidR="00D469B0">
        <w:rPr>
          <w:b/>
          <w:i/>
          <w:iCs/>
        </w:rPr>
        <w:t xml:space="preserve">under the circumstances </w:t>
      </w:r>
      <w:r w:rsidR="00BA1F06" w:rsidRPr="00663B62">
        <w:rPr>
          <w:b/>
          <w:i/>
          <w:iCs/>
        </w:rPr>
        <w:t xml:space="preserve">to protect </w:t>
      </w:r>
      <w:r w:rsidR="008922AE">
        <w:rPr>
          <w:b/>
          <w:i/>
          <w:iCs/>
        </w:rPr>
        <w:t>their</w:t>
      </w:r>
      <w:r w:rsidR="00BA1F06" w:rsidRPr="00663B62">
        <w:rPr>
          <w:b/>
          <w:i/>
          <w:iCs/>
        </w:rPr>
        <w:t xml:space="preserve"> trade secrets</w:t>
      </w:r>
      <w:r w:rsidR="00301F7F">
        <w:rPr>
          <w:bCs/>
        </w:rPr>
        <w:t>.</w:t>
      </w:r>
      <w:r w:rsidR="00C73B66">
        <w:rPr>
          <w:rStyle w:val="FootnoteReference"/>
          <w:bCs/>
        </w:rPr>
        <w:footnoteReference w:id="61"/>
      </w:r>
      <w:r w:rsidR="00B939F4" w:rsidRPr="00B939F4">
        <w:rPr>
          <w:color w:val="000000" w:themeColor="text1"/>
        </w:rPr>
        <w:t xml:space="preserve"> </w:t>
      </w:r>
    </w:p>
    <w:p w:rsidR="00933C06" w:rsidRPr="00933C06" w:rsidRDefault="00933C06" w:rsidP="00F522AF">
      <w:pPr>
        <w:pStyle w:val="Newparagraph"/>
        <w:spacing w:line="360" w:lineRule="auto"/>
      </w:pPr>
      <w:r w:rsidRPr="00933C06">
        <w:t xml:space="preserve">Whilst UK jurisprudence under the Regulation remains to be developed, case law from the USA based upon the same </w:t>
      </w:r>
      <w:r w:rsidR="003D59F3">
        <w:t>or similar</w:t>
      </w:r>
      <w:r w:rsidR="00F64179">
        <w:t xml:space="preserve"> </w:t>
      </w:r>
      <w:r w:rsidRPr="00933C06">
        <w:t>wording</w:t>
      </w:r>
      <w:r>
        <w:rPr>
          <w:rStyle w:val="FootnoteReference"/>
        </w:rPr>
        <w:footnoteReference w:id="62"/>
      </w:r>
      <w:r w:rsidRPr="00933C06">
        <w:t xml:space="preserve"> has already seen courts assessing the </w:t>
      </w:r>
      <w:r w:rsidR="0026160C">
        <w:t>“</w:t>
      </w:r>
      <w:r w:rsidRPr="00933C06">
        <w:t>reasonableness</w:t>
      </w:r>
      <w:r w:rsidR="0026160C">
        <w:t>”</w:t>
      </w:r>
      <w:r w:rsidRPr="00933C06">
        <w:t xml:space="preserve"> of a businesses’ cybersecurity in terms of, identity and access management (password protection, </w:t>
      </w:r>
      <w:r w:rsidR="00C73B66">
        <w:t>“</w:t>
      </w:r>
      <w:r w:rsidRPr="00933C06">
        <w:t>need to know</w:t>
      </w:r>
      <w:r w:rsidR="00C73B66">
        <w:t>”</w:t>
      </w:r>
      <w:r w:rsidRPr="00933C06">
        <w:t xml:space="preserve"> access, secure server storage), data security measures (USB use restrictions, distribution controls), perimeter and network </w:t>
      </w:r>
      <w:r w:rsidR="00912602" w:rsidRPr="00933C06">
        <w:t>defenses</w:t>
      </w:r>
      <w:r w:rsidRPr="00933C06">
        <w:t xml:space="preserve"> (firewalls, data encryption, online use restrictions), communication (pop-up warnings) and email monitoring.</w:t>
      </w:r>
      <w:r w:rsidR="0026160C">
        <w:rPr>
          <w:rStyle w:val="FootnoteReference"/>
        </w:rPr>
        <w:footnoteReference w:id="63"/>
      </w:r>
    </w:p>
    <w:p w:rsidR="00D84C0A" w:rsidRPr="00D84C0A" w:rsidRDefault="0026160C" w:rsidP="00F522AF">
      <w:pPr>
        <w:pStyle w:val="Newparagraph"/>
        <w:spacing w:line="360" w:lineRule="auto"/>
      </w:pPr>
      <w:r w:rsidRPr="0026160C">
        <w:t>Writing for the UK National Cyber Security Strategy 2016-2021 , the then Director of the Government Communications Headquarters (GCHQ) warned of</w:t>
      </w:r>
      <w:r>
        <w:t xml:space="preserve"> the </w:t>
      </w:r>
      <w:r w:rsidR="0022600E">
        <w:t>“</w:t>
      </w:r>
      <w:r>
        <w:t>industrial scale theft o</w:t>
      </w:r>
      <w:r w:rsidRPr="0026160C">
        <w:t>f intellectual property from our companies and universities”</w:t>
      </w:r>
      <w:r w:rsidR="00C73B66">
        <w:t>.</w:t>
      </w:r>
      <w:r>
        <w:rPr>
          <w:rStyle w:val="FootnoteReference"/>
        </w:rPr>
        <w:footnoteReference w:id="64"/>
      </w:r>
      <w:r w:rsidRPr="0026160C">
        <w:t xml:space="preserve"> Yet section 4.8 of the </w:t>
      </w:r>
      <w:r w:rsidR="0022600E">
        <w:t>S</w:t>
      </w:r>
      <w:r w:rsidRPr="0026160C">
        <w:t xml:space="preserve">trategy makes clear that “businesses and </w:t>
      </w:r>
      <w:r w:rsidR="00912602" w:rsidRPr="0026160C">
        <w:t>organizations</w:t>
      </w:r>
      <w:r w:rsidRPr="0026160C">
        <w:t xml:space="preserve"> must also understand that, if they are the victim of a cyber-attack, they (alone) are liable for the consequences.” Alec Ross, once Senior Advisor for Innovation to Hillary Clinton when she was U.S. Secretary of State, notes that, “small businesses cannot pay for the type of expensive cybersecurity protection that governments and major corporations can…there is an as yet unmet obligation by government to define its responsibilities...”.</w:t>
      </w:r>
      <w:r>
        <w:rPr>
          <w:rStyle w:val="FootnoteReference"/>
        </w:rPr>
        <w:footnoteReference w:id="65"/>
      </w:r>
      <w:r w:rsidRPr="0026160C">
        <w:t xml:space="preserve"> The </w:t>
      </w:r>
      <w:r>
        <w:t>author</w:t>
      </w:r>
      <w:r w:rsidRPr="0026160C">
        <w:t xml:space="preserve"> would suggest that </w:t>
      </w:r>
      <w:r>
        <w:t xml:space="preserve">a </w:t>
      </w:r>
      <w:r w:rsidRPr="0026160C">
        <w:t>government-led IP cybersecurity communications campaign</w:t>
      </w:r>
      <w:r>
        <w:t>s</w:t>
      </w:r>
      <w:r w:rsidRPr="0026160C">
        <w:t xml:space="preserve"> targeted at SMEs making applications for patents, trademarks and registered designs would </w:t>
      </w:r>
      <w:r w:rsidR="005636E2">
        <w:t xml:space="preserve">help to </w:t>
      </w:r>
      <w:r w:rsidRPr="0026160C">
        <w:t xml:space="preserve">meet such an obligation. SMEs are by </w:t>
      </w:r>
      <w:r w:rsidRPr="0026160C">
        <w:lastRenderedPageBreak/>
        <w:t xml:space="preserve">definition risk-takers and such a communications campaign would, in the experience of IP Wales, ensure that they become better informed risk-takers, when it comes to their digital resilience. </w:t>
      </w:r>
    </w:p>
    <w:p w:rsidR="006D7879" w:rsidRPr="00C73B66" w:rsidRDefault="00D30CF1" w:rsidP="00F522AF">
      <w:pPr>
        <w:pStyle w:val="Heading2"/>
      </w:pPr>
      <w:r w:rsidRPr="00C73B66">
        <w:t xml:space="preserve">B - </w:t>
      </w:r>
      <w:r w:rsidR="00CC7018" w:rsidRPr="00C73B66">
        <w:t xml:space="preserve">Teaching </w:t>
      </w:r>
    </w:p>
    <w:p w:rsidR="00B624AD" w:rsidRDefault="006D7879" w:rsidP="00F522AF">
      <w:pPr>
        <w:pStyle w:val="Paragraph"/>
        <w:spacing w:line="360" w:lineRule="auto"/>
      </w:pPr>
      <w:r>
        <w:t>T</w:t>
      </w:r>
      <w:r w:rsidR="006D23F4">
        <w:t xml:space="preserve">he fraught negotiations leading to </w:t>
      </w:r>
      <w:r w:rsidR="005224F1">
        <w:t xml:space="preserve">TRIPs </w:t>
      </w:r>
      <w:r w:rsidR="003B502F">
        <w:t>demonstrate</w:t>
      </w:r>
      <w:r w:rsidR="00D469B0">
        <w:t>d</w:t>
      </w:r>
      <w:r w:rsidR="003B502F">
        <w:t xml:space="preserve"> the</w:t>
      </w:r>
      <w:r w:rsidR="004124EB">
        <w:t xml:space="preserve"> differing </w:t>
      </w:r>
      <w:r w:rsidR="00457919">
        <w:t xml:space="preserve">international </w:t>
      </w:r>
      <w:r w:rsidR="004124EB">
        <w:t>approaches to intellectual property law</w:t>
      </w:r>
      <w:r w:rsidR="005224F1">
        <w:t xml:space="preserve"> within member states of the World Trade Organi</w:t>
      </w:r>
      <w:r w:rsidR="006A347E">
        <w:t>z</w:t>
      </w:r>
      <w:r w:rsidR="005224F1">
        <w:t>ation (WTO)</w:t>
      </w:r>
      <w:r w:rsidR="004124EB">
        <w:t xml:space="preserve">. </w:t>
      </w:r>
      <w:r w:rsidR="00B26210">
        <w:t>Current a</w:t>
      </w:r>
      <w:r w:rsidR="004124EB">
        <w:t xml:space="preserve">cademic debate </w:t>
      </w:r>
      <w:r w:rsidR="00912602">
        <w:t>centers</w:t>
      </w:r>
      <w:r w:rsidR="004124EB">
        <w:t xml:space="preserve"> upon continuing tensions between states seeking to implement the </w:t>
      </w:r>
      <w:r w:rsidR="007C3351">
        <w:t xml:space="preserve">Agreement’s </w:t>
      </w:r>
      <w:r w:rsidR="008C655F">
        <w:t>“</w:t>
      </w:r>
      <w:r w:rsidR="004124EB">
        <w:t>one size fits all</w:t>
      </w:r>
      <w:r w:rsidR="008C655F">
        <w:t>”</w:t>
      </w:r>
      <w:r w:rsidR="00B26210">
        <w:t xml:space="preserve"> </w:t>
      </w:r>
      <w:r w:rsidR="00144CC9">
        <w:t xml:space="preserve">and </w:t>
      </w:r>
      <w:r w:rsidR="00B624AD">
        <w:t>now challenged</w:t>
      </w:r>
      <w:r w:rsidR="00B26210">
        <w:t xml:space="preserve"> </w:t>
      </w:r>
      <w:r w:rsidR="00B624AD">
        <w:t>philosophy</w:t>
      </w:r>
      <w:r w:rsidR="007C3351">
        <w:t xml:space="preserve"> </w:t>
      </w:r>
      <w:r w:rsidR="00B624AD">
        <w:t xml:space="preserve">of </w:t>
      </w:r>
      <w:r w:rsidR="007C3351">
        <w:t xml:space="preserve">baseline IP laws, with differing perspectives </w:t>
      </w:r>
      <w:r w:rsidR="00B26210">
        <w:t xml:space="preserve">from </w:t>
      </w:r>
      <w:r w:rsidR="007C3351">
        <w:t xml:space="preserve">developed economy states and developing economy states highlighted. </w:t>
      </w:r>
    </w:p>
    <w:p w:rsidR="00DC0E54" w:rsidRDefault="007C3351" w:rsidP="00F522AF">
      <w:pPr>
        <w:pStyle w:val="Newparagraph"/>
        <w:spacing w:line="360" w:lineRule="auto"/>
      </w:pPr>
      <w:r>
        <w:t xml:space="preserve">The IP Wales experience </w:t>
      </w:r>
      <w:r w:rsidR="00B624AD">
        <w:t xml:space="preserve">is </w:t>
      </w:r>
      <w:r>
        <w:t xml:space="preserve">that differences </w:t>
      </w:r>
      <w:r w:rsidR="00FF4849">
        <w:t xml:space="preserve">in </w:t>
      </w:r>
      <w:r w:rsidR="00802288">
        <w:t>perspective</w:t>
      </w:r>
      <w:r w:rsidR="00FF4849">
        <w:t xml:space="preserve"> due to economic standing </w:t>
      </w:r>
      <w:r w:rsidR="00C0423F">
        <w:t>are</w:t>
      </w:r>
      <w:r w:rsidR="00FF4849">
        <w:t xml:space="preserve"> not </w:t>
      </w:r>
      <w:r w:rsidR="00C0423F">
        <w:t xml:space="preserve">only </w:t>
      </w:r>
      <w:r w:rsidR="00FF4849">
        <w:t xml:space="preserve">limited to what IP law </w:t>
      </w:r>
      <w:r w:rsidR="00FF4849" w:rsidRPr="00663B62">
        <w:rPr>
          <w:b/>
          <w:bCs/>
          <w:i/>
          <w:iCs/>
        </w:rPr>
        <w:t>is</w:t>
      </w:r>
      <w:r w:rsidR="00FF4849">
        <w:t xml:space="preserve"> but also extend to what it can </w:t>
      </w:r>
      <w:r w:rsidR="00FF4849" w:rsidRPr="00663B62">
        <w:rPr>
          <w:b/>
          <w:bCs/>
          <w:i/>
          <w:iCs/>
        </w:rPr>
        <w:t>do</w:t>
      </w:r>
      <w:r w:rsidR="00FF4849">
        <w:rPr>
          <w:b/>
          <w:bCs/>
        </w:rPr>
        <w:t xml:space="preserve"> </w:t>
      </w:r>
      <w:r w:rsidR="00FF4849">
        <w:t xml:space="preserve">when managed by SMEs, as compared to larger commercial entities. </w:t>
      </w:r>
      <w:r w:rsidR="00CF0979">
        <w:t xml:space="preserve">By way of illustration, </w:t>
      </w:r>
      <w:r w:rsidR="00C0423F">
        <w:t>IP Wales grant recipients</w:t>
      </w:r>
      <w:r w:rsidR="00CF0979">
        <w:t xml:space="preserve"> undertaking PCT application</w:t>
      </w:r>
      <w:r w:rsidR="00C0423F">
        <w:t>s</w:t>
      </w:r>
      <w:r w:rsidR="00CF0979">
        <w:t xml:space="preserve"> </w:t>
      </w:r>
      <w:r w:rsidR="00C0423F">
        <w:t xml:space="preserve">were typically seeking to </w:t>
      </w:r>
      <w:r w:rsidR="00B624AD">
        <w:t>commercially exploit</w:t>
      </w:r>
      <w:r w:rsidR="00C0423F">
        <w:t xml:space="preserve"> th</w:t>
      </w:r>
      <w:r w:rsidR="00B624AD">
        <w:t>is</w:t>
      </w:r>
      <w:r w:rsidR="00C0423F">
        <w:t xml:space="preserve"> intellectual asset by way of licensing. Yet no SME </w:t>
      </w:r>
      <w:r w:rsidR="00144CC9">
        <w:t xml:space="preserve">member </w:t>
      </w:r>
      <w:r w:rsidR="00C0423F">
        <w:t xml:space="preserve">possessed the financial </w:t>
      </w:r>
      <w:r w:rsidR="00AD1E51">
        <w:t>means</w:t>
      </w:r>
      <w:r w:rsidR="00C0423F">
        <w:t xml:space="preserve"> to </w:t>
      </w:r>
      <w:r w:rsidR="00AD1E51">
        <w:t>acquire</w:t>
      </w:r>
      <w:r w:rsidR="00B624AD">
        <w:t>,</w:t>
      </w:r>
      <w:r w:rsidR="00AD1E51">
        <w:t xml:space="preserve"> let alone police and enforce</w:t>
      </w:r>
      <w:r w:rsidR="00B624AD">
        <w:t>,</w:t>
      </w:r>
      <w:r w:rsidR="00663B62">
        <w:t xml:space="preserve"> </w:t>
      </w:r>
      <w:r w:rsidR="00AD1E51">
        <w:t>patents in</w:t>
      </w:r>
      <w:r w:rsidR="00C0423F">
        <w:t xml:space="preserve"> more than a handful of territories when reaching the time limit for entering the </w:t>
      </w:r>
      <w:r w:rsidR="00AD1E51">
        <w:t>national/regional phase under PCT chapters I and II, a fact well known by the larger commercial entity with whom they were negotiating licensing terms.</w:t>
      </w:r>
      <w:r w:rsidR="00B624AD">
        <w:t xml:space="preserve"> Moreover, th</w:t>
      </w:r>
      <w:r w:rsidR="00B26210">
        <w:t xml:space="preserve">is </w:t>
      </w:r>
      <w:r w:rsidR="00B624AD">
        <w:t>lack of resource</w:t>
      </w:r>
      <w:r w:rsidR="00717D2C">
        <w:t xml:space="preserve"> </w:t>
      </w:r>
      <w:r w:rsidR="002A6588">
        <w:t>is</w:t>
      </w:r>
      <w:r w:rsidR="00717D2C">
        <w:t xml:space="preserve"> not only limited to financ</w:t>
      </w:r>
      <w:r w:rsidR="005224F1">
        <w:t>e</w:t>
      </w:r>
      <w:r w:rsidR="00717D2C">
        <w:t xml:space="preserve">. </w:t>
      </w:r>
      <w:r w:rsidR="003B502F">
        <w:t>The small number of employees in a typical SME often</w:t>
      </w:r>
      <w:r w:rsidR="00DC0E54">
        <w:t xml:space="preserve"> mean</w:t>
      </w:r>
      <w:r w:rsidR="005224F1">
        <w:t>s</w:t>
      </w:r>
      <w:r w:rsidR="00DC0E54">
        <w:t xml:space="preserve"> that its </w:t>
      </w:r>
      <w:r w:rsidR="00717D2C">
        <w:t xml:space="preserve">staff </w:t>
      </w:r>
      <w:r w:rsidR="00DC0E54">
        <w:t>ha</w:t>
      </w:r>
      <w:r w:rsidR="005224F1">
        <w:t>ve</w:t>
      </w:r>
      <w:r w:rsidR="00DC0E54">
        <w:t xml:space="preserve"> </w:t>
      </w:r>
      <w:r w:rsidR="00717D2C">
        <w:t xml:space="preserve">to perform </w:t>
      </w:r>
      <w:r w:rsidR="00144CC9">
        <w:t>a</w:t>
      </w:r>
      <w:r w:rsidR="00D469B0">
        <w:t xml:space="preserve"> </w:t>
      </w:r>
      <w:r w:rsidR="00717D2C">
        <w:t>multipl</w:t>
      </w:r>
      <w:r w:rsidR="00A64F5C">
        <w:t>ication of</w:t>
      </w:r>
      <w:r w:rsidR="00717D2C">
        <w:t xml:space="preserve"> roles for which they </w:t>
      </w:r>
      <w:r w:rsidR="005224F1">
        <w:t xml:space="preserve">may </w:t>
      </w:r>
      <w:r w:rsidR="00717D2C">
        <w:t>lack</w:t>
      </w:r>
      <w:r w:rsidR="00DC0E54">
        <w:t xml:space="preserve"> adequate </w:t>
      </w:r>
      <w:r w:rsidR="00717D2C">
        <w:t>training</w:t>
      </w:r>
      <w:r w:rsidR="00DC0E54">
        <w:t>.</w:t>
      </w:r>
      <w:r w:rsidR="00717D2C">
        <w:t xml:space="preserve"> </w:t>
      </w:r>
      <w:r w:rsidR="00DC0E54">
        <w:t>O</w:t>
      </w:r>
      <w:r w:rsidR="00717D2C">
        <w:t xml:space="preserve">ne IP Wales grant recipient expressed bewilderment at the maintenance schedule and costs associated with the patent portfolio under their </w:t>
      </w:r>
      <w:r w:rsidR="00D469B0">
        <w:t>immediate</w:t>
      </w:r>
      <w:r w:rsidR="00663B62">
        <w:t xml:space="preserve"> </w:t>
      </w:r>
      <w:r w:rsidR="00740FAD">
        <w:t>supervision</w:t>
      </w:r>
      <w:r w:rsidR="00717D2C">
        <w:t xml:space="preserve">, whilst at the same able to recite a comprehensive understanding of the maintenance schedule and costs associated with a recently purchased piece of capital equipment. </w:t>
      </w:r>
    </w:p>
    <w:p w:rsidR="00CF0979" w:rsidRDefault="000E7ABF" w:rsidP="00F522AF">
      <w:pPr>
        <w:pStyle w:val="Newparagraph"/>
        <w:spacing w:line="360" w:lineRule="auto"/>
      </w:pPr>
      <w:r>
        <w:t>Early</w:t>
      </w:r>
      <w:r w:rsidR="00717D2C">
        <w:t xml:space="preserve"> concerns over potential friction</w:t>
      </w:r>
      <w:r w:rsidR="0021781C">
        <w:t xml:space="preserve"> </w:t>
      </w:r>
      <w:r w:rsidR="00717D2C">
        <w:t xml:space="preserve">developing between </w:t>
      </w:r>
      <w:r w:rsidR="002A6588">
        <w:t xml:space="preserve">the </w:t>
      </w:r>
      <w:r w:rsidR="00717D2C">
        <w:t>IP Wales field officers and the IP service community proved to be unfounded</w:t>
      </w:r>
      <w:r w:rsidR="00D469B0">
        <w:t>, even when IP Wales field officers spent as much time illustrating to SME</w:t>
      </w:r>
      <w:r w:rsidR="009F1B88">
        <w:t>s</w:t>
      </w:r>
      <w:r w:rsidR="00D469B0">
        <w:t xml:space="preserve"> why the IP system might not be best suited to deliver their commercial objectives. </w:t>
      </w:r>
      <w:r w:rsidR="00DC0E54">
        <w:t>P</w:t>
      </w:r>
      <w:r w:rsidR="00717D2C">
        <w:t xml:space="preserve">atent </w:t>
      </w:r>
      <w:r w:rsidR="000612C8">
        <w:t>A</w:t>
      </w:r>
      <w:r w:rsidR="00717D2C">
        <w:t>tt</w:t>
      </w:r>
      <w:r w:rsidR="006B6051">
        <w:t xml:space="preserve">orney’s </w:t>
      </w:r>
      <w:r w:rsidR="0085115E">
        <w:t>c</w:t>
      </w:r>
      <w:r w:rsidR="00DC0E54">
        <w:t>ame</w:t>
      </w:r>
      <w:r w:rsidR="0085115E">
        <w:t xml:space="preserve"> to </w:t>
      </w:r>
      <w:r w:rsidR="006B6051">
        <w:t>valu</w:t>
      </w:r>
      <w:r w:rsidR="0085115E">
        <w:t>e</w:t>
      </w:r>
      <w:r w:rsidR="006B6051">
        <w:t xml:space="preserve"> the clear instructions SMEs were now able to </w:t>
      </w:r>
      <w:r>
        <w:t>provide</w:t>
      </w:r>
      <w:r w:rsidR="006B6051">
        <w:t xml:space="preserve"> under an </w:t>
      </w:r>
      <w:r w:rsidR="0085115E">
        <w:t xml:space="preserve">already </w:t>
      </w:r>
      <w:r w:rsidR="006B6051">
        <w:t xml:space="preserve">articulated intellectual assets strategy, </w:t>
      </w:r>
    </w:p>
    <w:p w:rsidR="00BA1F06" w:rsidRDefault="00457919" w:rsidP="00F522AF">
      <w:pPr>
        <w:pStyle w:val="Newparagraph"/>
        <w:spacing w:line="360" w:lineRule="auto"/>
      </w:pPr>
      <w:r>
        <w:t>We have already seen that u</w:t>
      </w:r>
      <w:r w:rsidR="00FF4849">
        <w:t xml:space="preserve">nderstanding how SMEs </w:t>
      </w:r>
      <w:r w:rsidR="00845B12">
        <w:t xml:space="preserve">do </w:t>
      </w:r>
      <w:r w:rsidR="00FF4849">
        <w:t xml:space="preserve">manage </w:t>
      </w:r>
      <w:r w:rsidR="00845B12">
        <w:t xml:space="preserve">and could manage </w:t>
      </w:r>
      <w:r w:rsidR="00FF4849">
        <w:t>their intangible assets requires a multi-disciplinary approach</w:t>
      </w:r>
      <w:r>
        <w:t xml:space="preserve"> and that</w:t>
      </w:r>
      <w:r w:rsidR="00B26210">
        <w:t>,</w:t>
      </w:r>
      <w:r>
        <w:t xml:space="preserve"> unlike larger firms</w:t>
      </w:r>
      <w:r w:rsidR="00B26210">
        <w:t>,</w:t>
      </w:r>
      <w:r>
        <w:t xml:space="preserve"> </w:t>
      </w:r>
      <w:r w:rsidR="004238A5">
        <w:t xml:space="preserve">left </w:t>
      </w:r>
      <w:r w:rsidR="004238A5">
        <w:lastRenderedPageBreak/>
        <w:t xml:space="preserve">to their own devices </w:t>
      </w:r>
      <w:r>
        <w:t xml:space="preserve">most SMEs </w:t>
      </w:r>
      <w:r w:rsidR="004238A5">
        <w:t>will</w:t>
      </w:r>
      <w:r>
        <w:t xml:space="preserve"> not employ an IP strategy.</w:t>
      </w:r>
      <w:r w:rsidR="00C73B66">
        <w:rPr>
          <w:rStyle w:val="FootnoteReference"/>
        </w:rPr>
        <w:footnoteReference w:id="66"/>
      </w:r>
      <w:r>
        <w:t xml:space="preserve"> </w:t>
      </w:r>
      <w:r w:rsidR="00845B12">
        <w:t xml:space="preserve"> Whereas the IP Wales experience ultimately led to the integration of management theory into intellectual property law for the purpose of </w:t>
      </w:r>
      <w:r w:rsidR="00922C2B">
        <w:t xml:space="preserve">postgraduate </w:t>
      </w:r>
      <w:r w:rsidR="00845B12">
        <w:t>curriculum development</w:t>
      </w:r>
      <w:r w:rsidR="00922C2B">
        <w:t xml:space="preserve">, </w:t>
      </w:r>
      <w:r w:rsidR="00845B12">
        <w:t xml:space="preserve">is there any evidence </w:t>
      </w:r>
      <w:r w:rsidR="00513A64">
        <w:t xml:space="preserve">to </w:t>
      </w:r>
      <w:r w:rsidR="00845B12">
        <w:t>support the reverse?</w:t>
      </w:r>
    </w:p>
    <w:p w:rsidR="00922C2B" w:rsidRDefault="00845B12" w:rsidP="00F522AF">
      <w:pPr>
        <w:pStyle w:val="Newparagraph"/>
        <w:spacing w:line="360" w:lineRule="auto"/>
      </w:pPr>
      <w:r>
        <w:t xml:space="preserve">If </w:t>
      </w:r>
      <w:r w:rsidR="002078EB">
        <w:t xml:space="preserve">a Master of Business Administration (MBA) is the </w:t>
      </w:r>
      <w:r w:rsidR="008C655F">
        <w:t>“</w:t>
      </w:r>
      <w:r w:rsidR="002078EB">
        <w:t>gold standard</w:t>
      </w:r>
      <w:r w:rsidR="008C655F">
        <w:t>”</w:t>
      </w:r>
      <w:r w:rsidR="002078EB">
        <w:t xml:space="preserve"> in management and leadership education</w:t>
      </w:r>
      <w:r w:rsidR="00AD1E51">
        <w:t>,</w:t>
      </w:r>
      <w:r w:rsidR="002078EB">
        <w:t xml:space="preserve"> </w:t>
      </w:r>
      <w:r w:rsidR="0071784C">
        <w:t xml:space="preserve">then a review of the top 5 MBA </w:t>
      </w:r>
      <w:r w:rsidR="00912602">
        <w:t>programs</w:t>
      </w:r>
      <w:r w:rsidR="0071784C">
        <w:t xml:space="preserve"> within the UK</w:t>
      </w:r>
      <w:r w:rsidR="00C73B66">
        <w:rPr>
          <w:rStyle w:val="FootnoteReference"/>
        </w:rPr>
        <w:footnoteReference w:id="67"/>
      </w:r>
      <w:r w:rsidR="0071784C">
        <w:t xml:space="preserve"> offers some </w:t>
      </w:r>
      <w:r w:rsidR="00220EDD">
        <w:t xml:space="preserve">limited </w:t>
      </w:r>
      <w:r w:rsidR="0071784C">
        <w:t>evidence to support th</w:t>
      </w:r>
      <w:r w:rsidR="00513A64">
        <w:t>is</w:t>
      </w:r>
      <w:r w:rsidR="0071784C">
        <w:t xml:space="preserve"> proposition</w:t>
      </w:r>
      <w:r w:rsidR="00922C2B">
        <w:t xml:space="preserve">. Based upon the IP Wales experience the question </w:t>
      </w:r>
      <w:r w:rsidR="00DE3FF9">
        <w:t>might</w:t>
      </w:r>
      <w:r w:rsidR="006B6051">
        <w:t xml:space="preserve"> </w:t>
      </w:r>
      <w:r w:rsidR="00922C2B">
        <w:t xml:space="preserve">now </w:t>
      </w:r>
      <w:r w:rsidR="00AD1E51">
        <w:t>evolve in</w:t>
      </w:r>
      <w:r w:rsidR="00922C2B">
        <w:t xml:space="preserve">to what extent, if any, does the teaching of management theory allow for </w:t>
      </w:r>
      <w:r w:rsidR="00AD1E51">
        <w:t xml:space="preserve">a </w:t>
      </w:r>
      <w:r w:rsidR="00922C2B">
        <w:t>differentiation in use of intellectual property law by SMEs?</w:t>
      </w:r>
    </w:p>
    <w:p w:rsidR="00DC0E54" w:rsidRPr="00C73B66" w:rsidRDefault="00A54BBA" w:rsidP="00F522AF">
      <w:pPr>
        <w:pStyle w:val="Newparagraph"/>
        <w:spacing w:line="360" w:lineRule="auto"/>
      </w:pPr>
      <w:r>
        <w:t xml:space="preserve">If one adopts </w:t>
      </w:r>
      <w:r w:rsidR="001D3040">
        <w:t>a more</w:t>
      </w:r>
      <w:r w:rsidR="005C252B">
        <w:t xml:space="preserve"> </w:t>
      </w:r>
      <w:r>
        <w:t xml:space="preserve">international </w:t>
      </w:r>
      <w:r w:rsidR="00912602">
        <w:t>perspective,</w:t>
      </w:r>
      <w:r>
        <w:t xml:space="preserve"> then Professor Leong</w:t>
      </w:r>
      <w:r w:rsidR="00C73B66">
        <w:rPr>
          <w:rStyle w:val="FootnoteReference"/>
        </w:rPr>
        <w:footnoteReference w:id="68"/>
      </w:r>
      <w:r w:rsidR="0085115E">
        <w:t xml:space="preserve"> </w:t>
      </w:r>
      <w:r w:rsidR="0021781C">
        <w:t xml:space="preserve">offers the observation </w:t>
      </w:r>
      <w:r w:rsidR="0085115E">
        <w:t xml:space="preserve">in </w:t>
      </w:r>
      <w:r w:rsidR="008C655F">
        <w:t>“</w:t>
      </w:r>
      <w:r w:rsidR="00F61474" w:rsidRPr="00F61474">
        <w:rPr>
          <w:i/>
          <w:iCs/>
        </w:rPr>
        <w:t xml:space="preserve">Teaching IP in a </w:t>
      </w:r>
      <w:r>
        <w:rPr>
          <w:i/>
          <w:iCs/>
        </w:rPr>
        <w:t>B</w:t>
      </w:r>
      <w:r w:rsidR="00F61474" w:rsidRPr="00F61474">
        <w:rPr>
          <w:i/>
          <w:iCs/>
        </w:rPr>
        <w:t xml:space="preserve">usiness </w:t>
      </w:r>
      <w:r>
        <w:rPr>
          <w:i/>
          <w:iCs/>
        </w:rPr>
        <w:t>S</w:t>
      </w:r>
      <w:r w:rsidR="00F61474" w:rsidRPr="00F61474">
        <w:rPr>
          <w:i/>
          <w:iCs/>
        </w:rPr>
        <w:t>chool</w:t>
      </w:r>
      <w:r w:rsidR="008C655F">
        <w:t>”</w:t>
      </w:r>
      <w:r>
        <w:t xml:space="preserve"> that</w:t>
      </w:r>
      <w:r w:rsidR="00DC0E54">
        <w:t xml:space="preserve"> </w:t>
      </w:r>
      <w:r w:rsidR="00F61474">
        <w:t>business students are trained to be generalist</w:t>
      </w:r>
      <w:r w:rsidR="00DC0E54">
        <w:t>s. “I</w:t>
      </w:r>
      <w:r w:rsidR="00F61474">
        <w:t>ntellectual property law is not a core discipline in the business curriculum and may be offered only as an elective</w:t>
      </w:r>
      <w:r>
        <w:t>…</w:t>
      </w:r>
      <w:r w:rsidR="00F61474">
        <w:t>the main learning objective</w:t>
      </w:r>
      <w:r w:rsidR="00922C2B">
        <w:t xml:space="preserve"> </w:t>
      </w:r>
      <w:r w:rsidR="00F61474">
        <w:t>is to provide them</w:t>
      </w:r>
      <w:r>
        <w:t xml:space="preserve"> with adequate legal knowledge so that they are able to appreciate the implications of the law when making business decision. This is the challenge”</w:t>
      </w:r>
      <w:r w:rsidR="00EE508C">
        <w:t>.</w:t>
      </w:r>
      <w:r>
        <w:rPr>
          <w:rStyle w:val="FootnoteReference"/>
          <w:rFonts w:cs="Times New Roman (Body CS)"/>
        </w:rPr>
        <w:footnoteReference w:id="69"/>
      </w:r>
      <w:r w:rsidR="00CF0979">
        <w:t xml:space="preserve"> </w:t>
      </w:r>
      <w:r w:rsidR="001D3040">
        <w:t>Based upon the IP Wales experience, s</w:t>
      </w:r>
      <w:r w:rsidR="00CF0979">
        <w:t xml:space="preserve">uch an approach </w:t>
      </w:r>
      <w:r w:rsidR="001D3040">
        <w:t xml:space="preserve">reveals the need for contemporary research into how SMEs manage their intellectual assets </w:t>
      </w:r>
      <w:r w:rsidR="00C73B66">
        <w:t>in difference to</w:t>
      </w:r>
      <w:r w:rsidR="001D3040">
        <w:t xml:space="preserve"> larger entities</w:t>
      </w:r>
      <w:r w:rsidR="00CF0979">
        <w:t>.</w:t>
      </w:r>
    </w:p>
    <w:p w:rsidR="00144CC9" w:rsidRPr="00C73B66" w:rsidRDefault="00D30CF1" w:rsidP="00F522AF">
      <w:pPr>
        <w:pStyle w:val="Heading2"/>
      </w:pPr>
      <w:r w:rsidRPr="00C73B66">
        <w:t xml:space="preserve">C - </w:t>
      </w:r>
      <w:r w:rsidR="00DE03C6" w:rsidRPr="00C73B66">
        <w:t xml:space="preserve">Research </w:t>
      </w:r>
      <w:r w:rsidR="00A66C71" w:rsidRPr="00C73B66">
        <w:t xml:space="preserve"> </w:t>
      </w:r>
    </w:p>
    <w:p w:rsidR="007B4A17" w:rsidRDefault="006D7879" w:rsidP="00F522AF">
      <w:pPr>
        <w:pStyle w:val="Paragraph"/>
        <w:spacing w:line="360" w:lineRule="auto"/>
      </w:pPr>
      <w:r>
        <w:t>W</w:t>
      </w:r>
      <w:r w:rsidR="0023796C" w:rsidRPr="00AB101A">
        <w:t xml:space="preserve">ith </w:t>
      </w:r>
      <w:r w:rsidR="00663B62">
        <w:t>the</w:t>
      </w:r>
      <w:r w:rsidR="0023796C" w:rsidRPr="00AB101A">
        <w:t xml:space="preserve"> </w:t>
      </w:r>
      <w:r w:rsidR="00DC0E54">
        <w:t xml:space="preserve">staff </w:t>
      </w:r>
      <w:r w:rsidR="0023796C" w:rsidRPr="00AB101A">
        <w:t>census date for REF 2021</w:t>
      </w:r>
      <w:r w:rsidR="006D23F4" w:rsidRPr="00AB101A">
        <w:t xml:space="preserve"> fast approaching</w:t>
      </w:r>
      <w:r w:rsidR="00396AB7">
        <w:t>,</w:t>
      </w:r>
      <w:r w:rsidR="00C73B66">
        <w:rPr>
          <w:rStyle w:val="FootnoteReference"/>
        </w:rPr>
        <w:footnoteReference w:id="70"/>
      </w:r>
      <w:r w:rsidR="002A6588">
        <w:t xml:space="preserve"> the</w:t>
      </w:r>
      <w:r w:rsidR="00663B62">
        <w:t xml:space="preserve"> </w:t>
      </w:r>
      <w:r w:rsidR="0023796C" w:rsidRPr="00AB101A">
        <w:t xml:space="preserve">thoughts </w:t>
      </w:r>
      <w:r w:rsidR="00AB101A">
        <w:t xml:space="preserve">of the UK academic community </w:t>
      </w:r>
      <w:r w:rsidR="0023796C" w:rsidRPr="00AB101A">
        <w:t xml:space="preserve">are </w:t>
      </w:r>
      <w:r w:rsidR="00663B62">
        <w:t>already</w:t>
      </w:r>
      <w:r w:rsidR="0023796C" w:rsidRPr="00AB101A">
        <w:t xml:space="preserve"> </w:t>
      </w:r>
      <w:r>
        <w:t xml:space="preserve">starting to </w:t>
      </w:r>
      <w:r w:rsidR="0023796C" w:rsidRPr="00AB101A">
        <w:t>turn to</w:t>
      </w:r>
      <w:r w:rsidR="00CF229B">
        <w:t>wards</w:t>
      </w:r>
      <w:r w:rsidR="0023796C" w:rsidRPr="00AB101A">
        <w:t xml:space="preserve"> </w:t>
      </w:r>
      <w:r w:rsidR="001B71F1">
        <w:t xml:space="preserve">future </w:t>
      </w:r>
      <w:r w:rsidR="00A66C71" w:rsidRPr="00AB101A">
        <w:t xml:space="preserve">individual research plans for </w:t>
      </w:r>
      <w:r w:rsidR="0023796C" w:rsidRPr="00AB101A">
        <w:t xml:space="preserve">the </w:t>
      </w:r>
      <w:r w:rsidR="006D23F4" w:rsidRPr="00AB101A">
        <w:t>next</w:t>
      </w:r>
      <w:r w:rsidR="0023796C" w:rsidRPr="00AB101A">
        <w:t xml:space="preserve"> REF cycle.</w:t>
      </w:r>
      <w:r w:rsidR="00AB101A">
        <w:t xml:space="preserve"> For the academic </w:t>
      </w:r>
      <w:r w:rsidR="004238A5">
        <w:t xml:space="preserve">lawyer </w:t>
      </w:r>
      <w:r w:rsidR="00E037A3">
        <w:t>a number of</w:t>
      </w:r>
      <w:r w:rsidR="00AB101A">
        <w:t xml:space="preserve"> rich </w:t>
      </w:r>
      <w:r w:rsidR="00DC7414">
        <w:t xml:space="preserve">potential </w:t>
      </w:r>
      <w:r w:rsidR="00AB101A">
        <w:t xml:space="preserve">seams </w:t>
      </w:r>
      <w:r w:rsidR="00DE3FF9">
        <w:t>of</w:t>
      </w:r>
      <w:r w:rsidR="00AB101A">
        <w:t xml:space="preserve"> research present themselves for </w:t>
      </w:r>
      <w:r w:rsidR="007B4A17">
        <w:t xml:space="preserve">future </w:t>
      </w:r>
      <w:r w:rsidR="00AB101A">
        <w:t>exploration</w:t>
      </w:r>
      <w:r w:rsidR="00E037A3">
        <w:t>, one such</w:t>
      </w:r>
      <w:r w:rsidR="00144CC9">
        <w:t xml:space="preserve"> </w:t>
      </w:r>
      <w:r w:rsidR="00E037A3">
        <w:t>being</w:t>
      </w:r>
      <w:r w:rsidR="00144CC9">
        <w:t xml:space="preserve"> Article 39.2 of TRIPs</w:t>
      </w:r>
      <w:r w:rsidR="00E037A3">
        <w:t>.</w:t>
      </w:r>
    </w:p>
    <w:p w:rsidR="004A5EE3" w:rsidRPr="004A5EE3" w:rsidRDefault="004A5EE3" w:rsidP="00F522AF">
      <w:pPr>
        <w:pStyle w:val="Newparagraph"/>
        <w:spacing w:line="360" w:lineRule="auto"/>
      </w:pPr>
      <w:r w:rsidRPr="004A5EE3">
        <w:t>The patent centric standpoint adopted by Chesbrough may well be reflective of large U</w:t>
      </w:r>
      <w:r w:rsidR="0021781C">
        <w:t>.</w:t>
      </w:r>
      <w:r w:rsidRPr="004A5EE3">
        <w:t>S</w:t>
      </w:r>
      <w:r w:rsidR="0021781C">
        <w:t>.</w:t>
      </w:r>
      <w:r w:rsidRPr="004A5EE3">
        <w:t xml:space="preserve"> Corporations, but it does not accord with the IP Wales experience of SMEs</w:t>
      </w:r>
      <w:r w:rsidR="004E27B1">
        <w:t>,</w:t>
      </w:r>
      <w:r w:rsidRPr="004A5EE3">
        <w:t xml:space="preserve"> </w:t>
      </w:r>
      <w:r w:rsidR="004238A5">
        <w:t>for</w:t>
      </w:r>
      <w:r w:rsidRPr="004A5EE3">
        <w:t xml:space="preserve"> whom </w:t>
      </w:r>
      <w:r w:rsidRPr="004A5EE3">
        <w:lastRenderedPageBreak/>
        <w:t xml:space="preserve">trade secrets are proportionately </w:t>
      </w:r>
      <w:r w:rsidR="00DC0E54">
        <w:t xml:space="preserve">a great deal </w:t>
      </w:r>
      <w:r w:rsidRPr="004A5EE3">
        <w:t>more important</w:t>
      </w:r>
      <w:r w:rsidR="00EE508C">
        <w:t>.</w:t>
      </w:r>
      <w:r w:rsidR="008F11A9">
        <w:rPr>
          <w:rStyle w:val="FootnoteReference"/>
        </w:rPr>
        <w:footnoteReference w:id="71"/>
      </w:r>
      <w:r w:rsidRPr="004A5EE3">
        <w:t xml:space="preserve"> Recent support for this viewpoint has come from U</w:t>
      </w:r>
      <w:r w:rsidR="0021781C">
        <w:t>.</w:t>
      </w:r>
      <w:r w:rsidRPr="004A5EE3">
        <w:t>S</w:t>
      </w:r>
      <w:r w:rsidR="0021781C">
        <w:t>.</w:t>
      </w:r>
      <w:r w:rsidRPr="004A5EE3">
        <w:t xml:space="preserve"> Trade Representative Michael Froman</w:t>
      </w:r>
      <w:r w:rsidR="00DC0E54">
        <w:t>,</w:t>
      </w:r>
      <w:r w:rsidRPr="004A5EE3">
        <w:t xml:space="preserve"> announcing the adoption by his government as best practice </w:t>
      </w:r>
      <w:r w:rsidR="00DC0E54">
        <w:t xml:space="preserve">a recognition </w:t>
      </w:r>
      <w:r w:rsidRPr="004A5EE3">
        <w:t xml:space="preserve">that, “trade secrets may constitute the </w:t>
      </w:r>
      <w:r w:rsidRPr="004A5EE3">
        <w:rPr>
          <w:b/>
          <w:bCs/>
          <w:i/>
          <w:iCs/>
        </w:rPr>
        <w:t>most</w:t>
      </w:r>
      <w:r w:rsidRPr="004A5EE3">
        <w:t xml:space="preserve"> critical intellectual assets…effective protection of trade secrets is especially important for mSMEs, which may be disproportionately affected by and less able to recover from a misappropriation compared to larger enterprises”</w:t>
      </w:r>
      <w:r w:rsidR="008F11A9">
        <w:t xml:space="preserve"> (</w:t>
      </w:r>
      <w:r w:rsidR="008F11A9" w:rsidRPr="008F11A9">
        <w:rPr>
          <w:i/>
          <w:iCs/>
        </w:rPr>
        <w:t>emphasis added</w:t>
      </w:r>
      <w:r w:rsidR="008F11A9">
        <w:t>)</w:t>
      </w:r>
      <w:r w:rsidR="00EE508C">
        <w:t>.</w:t>
      </w:r>
      <w:r w:rsidR="008F11A9">
        <w:rPr>
          <w:rStyle w:val="FootnoteReference"/>
        </w:rPr>
        <w:footnoteReference w:id="72"/>
      </w:r>
    </w:p>
    <w:p w:rsidR="004A5EE3" w:rsidRPr="000D6159" w:rsidRDefault="006D7879" w:rsidP="00F522AF">
      <w:pPr>
        <w:pStyle w:val="Newparagraph"/>
        <w:spacing w:line="360" w:lineRule="auto"/>
      </w:pPr>
      <w:r>
        <w:t>An</w:t>
      </w:r>
      <w:r w:rsidR="00EB225C" w:rsidRPr="00EB225C">
        <w:t xml:space="preserve"> area of primary concern </w:t>
      </w:r>
      <w:r w:rsidR="003F1D7A">
        <w:t>for the USA</w:t>
      </w:r>
      <w:r>
        <w:t>,</w:t>
      </w:r>
      <w:r w:rsidR="003F1D7A">
        <w:t xml:space="preserve"> </w:t>
      </w:r>
      <w:r w:rsidR="00B559E3">
        <w:t xml:space="preserve">as </w:t>
      </w:r>
      <w:r w:rsidR="00EB225C" w:rsidRPr="00EB225C">
        <w:t>highlighted by Secretary of State Hillary Rodham Clinton in 2012</w:t>
      </w:r>
      <w:r w:rsidR="00B559E3">
        <w:t>,</w:t>
      </w:r>
      <w:r w:rsidR="00EB225C" w:rsidRPr="00EB225C">
        <w:t xml:space="preserve"> </w:t>
      </w:r>
      <w:r>
        <w:t>i</w:t>
      </w:r>
      <w:r w:rsidR="00EB225C" w:rsidRPr="00EB225C">
        <w:t>s</w:t>
      </w:r>
      <w:r w:rsidR="00B559E3">
        <w:t xml:space="preserve"> </w:t>
      </w:r>
      <w:r w:rsidR="00DC7414">
        <w:t>“</w:t>
      </w:r>
      <w:r w:rsidR="00EB225C" w:rsidRPr="00EB225C">
        <w:t>emerging</w:t>
      </w:r>
      <w:r w:rsidR="001264EE">
        <w:t xml:space="preserve"> </w:t>
      </w:r>
      <w:r w:rsidR="00EB225C" w:rsidRPr="00EB225C">
        <w:t>powers are putting economics at the cent</w:t>
      </w:r>
      <w:r w:rsidR="001264EE">
        <w:t>er</w:t>
      </w:r>
      <w:r w:rsidR="00EB225C" w:rsidRPr="00EB225C">
        <w:t xml:space="preserve"> of their foreign policies”</w:t>
      </w:r>
      <w:r w:rsidR="008F11A9">
        <w:rPr>
          <w:rStyle w:val="FootnoteReference"/>
        </w:rPr>
        <w:footnoteReference w:id="73"/>
      </w:r>
      <w:r w:rsidR="00EB225C" w:rsidRPr="00EB225C">
        <w:t xml:space="preserve"> and making commercial cyber espionage a central part of their policy toolbox.</w:t>
      </w:r>
    </w:p>
    <w:p w:rsidR="00EB225C" w:rsidRPr="00CE112A" w:rsidRDefault="000D6159" w:rsidP="00F522AF">
      <w:pPr>
        <w:pStyle w:val="Newparagraph"/>
        <w:spacing w:line="360" w:lineRule="auto"/>
      </w:pPr>
      <w:r>
        <w:t>Accordingly</w:t>
      </w:r>
      <w:r w:rsidR="005E265D">
        <w:t xml:space="preserve">, it has been said </w:t>
      </w:r>
      <w:r w:rsidR="00D33621">
        <w:t>that</w:t>
      </w:r>
      <w:r w:rsidR="001F3F1B">
        <w:t>,</w:t>
      </w:r>
      <w:r w:rsidR="00EE508C">
        <w:t xml:space="preserve"> </w:t>
      </w:r>
      <w:r w:rsidR="00DC7414">
        <w:t>“</w:t>
      </w:r>
      <w:r w:rsidR="00EB225C" w:rsidRPr="00EB225C">
        <w:t>the threat of trade secrets theft to U.S. corporations conducting business internationally is a well-recogni</w:t>
      </w:r>
      <w:r w:rsidR="00495B8F">
        <w:t>z</w:t>
      </w:r>
      <w:r w:rsidR="00EB225C" w:rsidRPr="00EB225C">
        <w:t>ed and extensively documented phenomenon” and “top intellectual property priority” for investigation by the FBI.</w:t>
      </w:r>
      <w:r w:rsidR="008F11A9">
        <w:rPr>
          <w:rStyle w:val="FootnoteReference"/>
        </w:rPr>
        <w:footnoteReference w:id="74"/>
      </w:r>
      <w:r w:rsidR="006A347E">
        <w:t xml:space="preserve"> </w:t>
      </w:r>
      <w:r w:rsidR="00EB225C" w:rsidRPr="00EB225C">
        <w:t>It was for this reason that the U.S. government reported it had been, “extremely active in Brussels in support of the EU trade secrets directive”, using its co-chairmanship of the Transatlantic IPR Working Group to push ”this topic to the forefront on EU action on intellectual property matters”,</w:t>
      </w:r>
      <w:r w:rsidR="008F11A9">
        <w:rPr>
          <w:rStyle w:val="FootnoteReference"/>
        </w:rPr>
        <w:footnoteReference w:id="75"/>
      </w:r>
      <w:r w:rsidR="00220EDD">
        <w:t xml:space="preserve"> </w:t>
      </w:r>
      <w:r w:rsidR="00220EDD" w:rsidRPr="00220EDD">
        <w:t xml:space="preserve">albeit this legislative initiative </w:t>
      </w:r>
      <w:r w:rsidR="00CF229B">
        <w:t>became</w:t>
      </w:r>
      <w:r w:rsidR="00220EDD" w:rsidRPr="00220EDD">
        <w:t xml:space="preserve"> ultimately only limited to the civil </w:t>
      </w:r>
      <w:r w:rsidR="00A64F5C">
        <w:t xml:space="preserve">law </w:t>
      </w:r>
      <w:r w:rsidR="00220EDD" w:rsidRPr="00220EDD">
        <w:t>domain.</w:t>
      </w:r>
    </w:p>
    <w:p w:rsidR="000D6159" w:rsidRPr="00CE112A" w:rsidRDefault="000D6159" w:rsidP="00F522AF">
      <w:pPr>
        <w:pStyle w:val="Newparagraph"/>
        <w:spacing w:line="360" w:lineRule="auto"/>
      </w:pPr>
      <w:r w:rsidRPr="000D6159">
        <w:t xml:space="preserve">It is sobering to note </w:t>
      </w:r>
      <w:r w:rsidR="005E265D">
        <w:t xml:space="preserve">that according to </w:t>
      </w:r>
      <w:r w:rsidRPr="000D6159">
        <w:t xml:space="preserve">the Director of the European Centre for International Political Economy </w:t>
      </w:r>
      <w:r w:rsidR="003F1D7A">
        <w:t>(ECIPE)</w:t>
      </w:r>
      <w:r w:rsidRPr="000D6159">
        <w:t>, “there is no evidence or indication that cyber espionage against European firms is any lesser in scale than against other countries,” offering an estimation of “the cost of cyber espionage to Europe as 55 billion euros annually and 289,000 jobs at risk”</w:t>
      </w:r>
      <w:r w:rsidR="00937C04">
        <w:t>.</w:t>
      </w:r>
      <w:r w:rsidR="008F11A9">
        <w:rPr>
          <w:rStyle w:val="FootnoteReference"/>
        </w:rPr>
        <w:footnoteReference w:id="76"/>
      </w:r>
    </w:p>
    <w:p w:rsidR="0022600E" w:rsidRDefault="00C55250" w:rsidP="00F522AF">
      <w:pPr>
        <w:pStyle w:val="Newparagraph"/>
        <w:spacing w:line="360" w:lineRule="auto"/>
      </w:pPr>
      <w:r w:rsidRPr="00A7146C">
        <w:t xml:space="preserve">In </w:t>
      </w:r>
      <w:r w:rsidR="00A7146C">
        <w:rPr>
          <w:i/>
          <w:iCs/>
        </w:rPr>
        <w:t>t</w:t>
      </w:r>
      <w:r w:rsidRPr="00A7146C">
        <w:rPr>
          <w:i/>
          <w:iCs/>
        </w:rPr>
        <w:t xml:space="preserve">he Protection of Data in our Digital Age </w:t>
      </w:r>
      <w:r w:rsidR="00A7146C">
        <w:t>the authors note</w:t>
      </w:r>
      <w:r w:rsidRPr="00A7146C">
        <w:t>,</w:t>
      </w:r>
      <w:r w:rsidR="008F11A9">
        <w:t xml:space="preserve"> </w:t>
      </w:r>
    </w:p>
    <w:p w:rsidR="00A7146C" w:rsidRDefault="008F11A9" w:rsidP="00F522AF">
      <w:pPr>
        <w:pStyle w:val="Newparagraph"/>
        <w:spacing w:line="240" w:lineRule="auto"/>
        <w:ind w:left="737" w:right="737"/>
      </w:pPr>
      <w:r>
        <w:lastRenderedPageBreak/>
        <w:t>“</w:t>
      </w:r>
      <w:r w:rsidR="00A7146C" w:rsidRPr="00DE3FF9">
        <w:t>in large measure the existing legal protection of trade secrets data is limited due to a low level of legal protection</w:t>
      </w:r>
      <w:r w:rsidR="001F3F1B">
        <w:t>,</w:t>
      </w:r>
      <w:r>
        <w:rPr>
          <w:rStyle w:val="FootnoteReference"/>
        </w:rPr>
        <w:footnoteReference w:id="77"/>
      </w:r>
      <w:r w:rsidR="00A7146C" w:rsidRPr="00DE3FF9">
        <w:t xml:space="preserve"> issues of legal fragmentation both across and within differing legal jurisdictions around the world and problems associated with poor civil redress and criminal enforcement, including a failure to protect the confidentiality of trade secrets during legal proceedings. Difficulties in finding an agreed understanding of “trade secrets” and “know-how” resulted in TRIPS adopting the more neutral term “undisclosed information”, whilst at the same time refusing to offer any legal definition as to its meaning. In consequence, a recent study by the World Trade Organi</w:t>
      </w:r>
      <w:r w:rsidR="006A347E">
        <w:t>z</w:t>
      </w:r>
      <w:r w:rsidR="00A7146C" w:rsidRPr="00DE3FF9">
        <w:t>ation has found that legal protection of confidential information in member states today derives from over 25 different fields of law</w:t>
      </w:r>
      <w:r w:rsidR="00937C04">
        <w:t>.</w:t>
      </w:r>
      <w:r w:rsidR="004923FC">
        <w:rPr>
          <w:rStyle w:val="FootnoteReference"/>
        </w:rPr>
        <w:footnoteReference w:id="78"/>
      </w:r>
      <w:r w:rsidR="00A7146C" w:rsidRPr="00DE3FF9">
        <w:t xml:space="preserve"> Moreover, TRIPS was negotiated at a time when the usage and storage of digital data was in its infancy, a global economy underpinned by employee mobility was still in creation and the notion of globally dispersed research and development driven by what was to become known as “open innovation” remained still to be discovered by the boards of most large multi-national corporations</w:t>
      </w:r>
      <w:r w:rsidR="00A7146C">
        <w:t>”</w:t>
      </w:r>
      <w:r w:rsidR="00937C04">
        <w:t>.</w:t>
      </w:r>
      <w:r w:rsidR="004923FC">
        <w:rPr>
          <w:rStyle w:val="FootnoteReference"/>
        </w:rPr>
        <w:footnoteReference w:id="79"/>
      </w:r>
    </w:p>
    <w:p w:rsidR="00F522AF" w:rsidRDefault="00F522AF" w:rsidP="00F522AF">
      <w:pPr>
        <w:pStyle w:val="Newparagraph"/>
        <w:spacing w:line="240" w:lineRule="auto"/>
        <w:ind w:left="737" w:right="737"/>
      </w:pPr>
    </w:p>
    <w:p w:rsidR="0020594F" w:rsidRPr="00A22188" w:rsidRDefault="000D6159" w:rsidP="00F522AF">
      <w:pPr>
        <w:pStyle w:val="Newparagraph"/>
        <w:spacing w:line="360" w:lineRule="auto"/>
      </w:pPr>
      <w:r w:rsidRPr="000D6159">
        <w:t>With TRIPS now nearing its</w:t>
      </w:r>
      <w:r w:rsidR="00CE112A">
        <w:t xml:space="preserve"> first</w:t>
      </w:r>
      <w:r w:rsidRPr="000D6159">
        <w:t xml:space="preserve"> quarter century </w:t>
      </w:r>
      <w:r w:rsidR="00CE112A">
        <w:t xml:space="preserve">of operation </w:t>
      </w:r>
      <w:r w:rsidRPr="000D6159">
        <w:t>there are reassuring signs</w:t>
      </w:r>
      <w:r w:rsidR="004923FC">
        <w:rPr>
          <w:rStyle w:val="FootnoteReference"/>
        </w:rPr>
        <w:footnoteReference w:id="80"/>
      </w:r>
      <w:r w:rsidRPr="000D6159">
        <w:t xml:space="preserve"> that the US</w:t>
      </w:r>
      <w:r w:rsidR="00953D98">
        <w:t>A</w:t>
      </w:r>
      <w:r w:rsidRPr="000D6159">
        <w:t xml:space="preserve">, Japan and EU are starting to form a </w:t>
      </w:r>
      <w:r w:rsidR="003F1D7A">
        <w:t>“</w:t>
      </w:r>
      <w:r w:rsidRPr="000D6159">
        <w:t>coalition of the willing</w:t>
      </w:r>
      <w:r w:rsidR="003F1D7A">
        <w:t>”</w:t>
      </w:r>
      <w:r w:rsidR="004923FC">
        <w:rPr>
          <w:rStyle w:val="FootnoteReference"/>
        </w:rPr>
        <w:footnoteReference w:id="81"/>
      </w:r>
      <w:r w:rsidRPr="000D6159">
        <w:t xml:space="preserve"> to work together on the margins of the TRIPS Council to elaborate upon the nature of the legal protection to be afforded under Article 39</w:t>
      </w:r>
      <w:r w:rsidR="00802288">
        <w:t>.2</w:t>
      </w:r>
      <w:r w:rsidR="00DE3FF9">
        <w:t xml:space="preserve"> for trade secret data</w:t>
      </w:r>
      <w:r w:rsidRPr="000D6159">
        <w:t xml:space="preserve">, with a special emphasis on SMEs and emerging economies. </w:t>
      </w:r>
    </w:p>
    <w:sectPr w:rsidR="0020594F" w:rsidRPr="00A22188" w:rsidSect="005B6EF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4577" w:rsidRDefault="00644577" w:rsidP="00976189">
      <w:r>
        <w:separator/>
      </w:r>
    </w:p>
  </w:endnote>
  <w:endnote w:type="continuationSeparator" w:id="0">
    <w:p w:rsidR="00644577" w:rsidRDefault="00644577" w:rsidP="0097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0617022"/>
      <w:docPartObj>
        <w:docPartGallery w:val="Page Numbers (Bottom of Page)"/>
        <w:docPartUnique/>
      </w:docPartObj>
    </w:sdtPr>
    <w:sdtEndPr>
      <w:rPr>
        <w:rStyle w:val="PageNumber"/>
      </w:rPr>
    </w:sdtEndPr>
    <w:sdtContent>
      <w:p w:rsidR="009E5A49" w:rsidRDefault="009E5A49" w:rsidP="0031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5A49" w:rsidRDefault="009E5A49" w:rsidP="00976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8981237"/>
      <w:docPartObj>
        <w:docPartGallery w:val="Page Numbers (Bottom of Page)"/>
        <w:docPartUnique/>
      </w:docPartObj>
    </w:sdtPr>
    <w:sdtEndPr>
      <w:rPr>
        <w:rStyle w:val="PageNumber"/>
      </w:rPr>
    </w:sdtEndPr>
    <w:sdtContent>
      <w:p w:rsidR="009E5A49" w:rsidRDefault="009E5A49" w:rsidP="00317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5A49" w:rsidRDefault="009E5A49" w:rsidP="009761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2AF" w:rsidRDefault="00F5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4577" w:rsidRDefault="00644577" w:rsidP="00976189">
      <w:r>
        <w:separator/>
      </w:r>
    </w:p>
  </w:footnote>
  <w:footnote w:type="continuationSeparator" w:id="0">
    <w:p w:rsidR="00644577" w:rsidRDefault="00644577" w:rsidP="00976189">
      <w:r>
        <w:continuationSeparator/>
      </w:r>
    </w:p>
  </w:footnote>
  <w:footnote w:id="1">
    <w:p w:rsidR="00EE64BE" w:rsidRDefault="00EE64BE" w:rsidP="00F522AF">
      <w:pPr>
        <w:pStyle w:val="Footnotes"/>
        <w:spacing w:line="240" w:lineRule="auto"/>
      </w:pPr>
      <w:r>
        <w:rPr>
          <w:rStyle w:val="FootnoteReference"/>
        </w:rPr>
        <w:footnoteRef/>
      </w:r>
      <w:r>
        <w:t xml:space="preserve"> </w:t>
      </w:r>
      <w:r w:rsidR="00231ED8">
        <w:t xml:space="preserve">A. </w:t>
      </w:r>
      <w:r w:rsidRPr="00EE64BE">
        <w:fldChar w:fldCharType="begin" w:fldLock="1"/>
      </w:r>
      <w:r w:rsidRPr="00EE64BE">
        <w:instrText>ADDIN CSL_CITATION {"citationItems":[{"id":"ITEM-1","itemData":{"abstract":"Zomer A., Benneworth P. (2011) The Rise of the University’s Third Mission. In: Enders J., de Boer H.F., Westerheijden D.F. (eds) Reform of Higher Education in Europe. SensePublishers","author":[{"dropping-particle":"","family":"A.","given":"Zomer","non-dropping-particle":"","parse-names":false,"suffix":""},{"dropping-particle":"","family":"P.","given":"Benneworth","non-dropping-particle":"","parse-names":false,"suffix":""}],"container-title":"Reform of Higher Education in Europe","id":"ITEM-1","issued":{"date-parts":[["2011"]]},"title":"The Rise of the University’s Third Mission","type":"chapter"},"uris":["http://www.mendeley.com/documents/?uuid=c964af99-f744-4c57-b0a6-8f846cf9f012"]}],"mendeley":{"formattedCitation":"Zomer A. and Benneworth P., ‘The Rise of the University’s Third Mission’, &lt;i&gt;Reform of Higher Education in Europe&lt;/i&gt; (2011).","manualFormatting":"Zomer A. and Benneworth P., ‘The Rise of the University’s Third Mission’, Reform of Higher Education in Europe (2011), 82.","plainTextFormattedCitation":"Zomer A. and Benneworth P., ‘The Rise of the University’s Third Mission’, Reform of Higher Education in Europe (2011).","previouslyFormattedCitation":"Zomer A. and Benneworth P., ‘The Rise of the University’s Third Mission’, &lt;i&gt;Reform of Higher Education in Europe&lt;/i&gt; (2011)."},"properties":{"noteIndex":1},"schema":"https://github.com/citation-style-language/schema/raw/master/csl-citation.json"}</w:instrText>
      </w:r>
      <w:r w:rsidRPr="00EE64BE">
        <w:fldChar w:fldCharType="separate"/>
      </w:r>
      <w:r w:rsidRPr="00EE64BE">
        <w:t xml:space="preserve">Zomer </w:t>
      </w:r>
      <w:r w:rsidR="00231ED8">
        <w:t>&amp;</w:t>
      </w:r>
      <w:r w:rsidRPr="00EE64BE">
        <w:t xml:space="preserve"> </w:t>
      </w:r>
      <w:r w:rsidR="00231ED8">
        <w:t xml:space="preserve">P. </w:t>
      </w:r>
      <w:r w:rsidRPr="00EE64BE">
        <w:t xml:space="preserve">Benneworth, </w:t>
      </w:r>
      <w:r w:rsidRPr="00231ED8">
        <w:rPr>
          <w:u w:val="single"/>
        </w:rPr>
        <w:t>The Rise of the University’s Third Mission</w:t>
      </w:r>
      <w:r w:rsidRPr="00EE64BE">
        <w:t>, Reform of Higher Education in Europe</w:t>
      </w:r>
      <w:r w:rsidR="00231ED8">
        <w:t xml:space="preserve">, 82 </w:t>
      </w:r>
      <w:r w:rsidRPr="00EE64BE">
        <w:t>(2011)</w:t>
      </w:r>
      <w:r w:rsidRPr="00EE64BE">
        <w:fldChar w:fldCharType="end"/>
      </w:r>
      <w:r w:rsidR="003B14D7">
        <w:t>.</w:t>
      </w:r>
    </w:p>
  </w:footnote>
  <w:footnote w:id="2">
    <w:p w:rsidR="00EE64BE" w:rsidRDefault="00EE64BE" w:rsidP="00FC76F6">
      <w:pPr>
        <w:pStyle w:val="Footnotes"/>
        <w:spacing w:line="240" w:lineRule="auto"/>
      </w:pPr>
      <w:r>
        <w:rPr>
          <w:rStyle w:val="FootnoteReference"/>
        </w:rPr>
        <w:footnoteRef/>
      </w:r>
      <w:r>
        <w:t xml:space="preserve"> </w:t>
      </w:r>
      <w:r w:rsidRPr="00EE64BE">
        <w:fldChar w:fldCharType="begin" w:fldLock="1"/>
      </w:r>
      <w:r w:rsidRPr="00EE64BE">
        <w:instrText>ADDIN CSL_CITATION {"citationItems":[{"id":"ITEM-1","itemData":{"DOI":"10.1111/j.1467-8691.2008.00502.x","ISBN":"1578518377","abstract":"The Xerox corporation, the leading copier company, has a storied history of innovation. Much of that innovation arose from Xerox's Palo Alto Research Center (PARC), which was aimed at a new market for Xerox, the computer industry. WHile Xerox's problems with capturing value from its investments in innovation at PARC are well known, few know the whole story.","author":[{"dropping-particle":"","family":"Chesbrough","given":"Henry William","non-dropping-particle":"","parse-names":false,"suffix":""}],"container-title":"Harvard Business School Press","id":"ITEM-1","issued":{"date-parts":[["2003"]]},"title":"Open Innovation The New Imperative for Creating and Profiting from Technology Xerox PARC The Achievements and Limits of Closed Innovation","type":"book"},"uris":["http://www.mendeley.com/documents/?uuid=87fc014e-700a-4259-9110-ce7841c4cdcf"]}],"mendeley":{"formattedCitation":"Henry William Chesbrough, &lt;i&gt;Open Innovation The New Imperative for Creating and Profiting from Technology Xerox PARC The Achievements and Limits of Closed Innovation&lt;/i&gt; (2003).","manualFormatting":"Henry William Chesbrough, Open Innovation The New Imperative for Creating and Profiting from Technology (Harvard Business School Press, 2003).","plainTextFormattedCitation":"Henry William Chesbrough, Open Innovation The New Imperative for Creating and Profiting from Technology Xerox PARC The Achievements and Limits of Closed Innovation (2003).","previouslyFormattedCitation":"Henry William Chesbrough, &lt;i&gt;Open Innovation The New Imperative for Creating and Profiting from Technology Xerox PARC The Achievements and Limits of Closed Innovation&lt;/i&gt; (2003)."},"properties":{"noteIndex":2},"schema":"https://github.com/citation-style-language/schema/raw/master/csl-citation.json"}</w:instrText>
      </w:r>
      <w:r w:rsidRPr="00EE64BE">
        <w:fldChar w:fldCharType="separate"/>
      </w:r>
      <w:r w:rsidRPr="00EE64BE">
        <w:t xml:space="preserve">Henry William Chesbrough, </w:t>
      </w:r>
      <w:r w:rsidRPr="00231ED8">
        <w:rPr>
          <w:u w:val="single"/>
        </w:rPr>
        <w:t xml:space="preserve">Open Innovation </w:t>
      </w:r>
      <w:r w:rsidR="00912602" w:rsidRPr="00231ED8">
        <w:rPr>
          <w:u w:val="single"/>
        </w:rPr>
        <w:t>the</w:t>
      </w:r>
      <w:r w:rsidRPr="00231ED8">
        <w:rPr>
          <w:u w:val="single"/>
        </w:rPr>
        <w:t xml:space="preserve"> New Imperative for Creating and Profiting from Technology</w:t>
      </w:r>
      <w:r w:rsidR="00231ED8">
        <w:t>,</w:t>
      </w:r>
      <w:r w:rsidRPr="00EE64BE">
        <w:t xml:space="preserve"> (2003)</w:t>
      </w:r>
      <w:r w:rsidRPr="00EE64BE">
        <w:fldChar w:fldCharType="end"/>
      </w:r>
      <w:r w:rsidR="003B14D7">
        <w:t>.</w:t>
      </w:r>
    </w:p>
  </w:footnote>
  <w:footnote w:id="3">
    <w:p w:rsidR="00EE64BE" w:rsidRDefault="00EE64BE" w:rsidP="00F522AF">
      <w:pPr>
        <w:pStyle w:val="Footnotes"/>
        <w:spacing w:line="240" w:lineRule="auto"/>
      </w:pPr>
      <w:r>
        <w:rPr>
          <w:rStyle w:val="FootnoteReference"/>
        </w:rPr>
        <w:footnoteRef/>
      </w:r>
      <w:r>
        <w:t xml:space="preserve"> </w:t>
      </w:r>
      <w:r w:rsidRPr="006C2CE7">
        <w:rPr>
          <w:shd w:val="clear" w:color="auto" w:fill="FFFFFF"/>
        </w:rPr>
        <w:t xml:space="preserve">In 2002 SMEs accounted for all but 130 of the total 71,870 enterprises registered </w:t>
      </w:r>
      <w:r w:rsidR="00231ED8">
        <w:rPr>
          <w:shd w:val="clear" w:color="auto" w:fill="FFFFFF"/>
        </w:rPr>
        <w:t xml:space="preserve">above the £55,000 turnover threshold </w:t>
      </w:r>
      <w:r w:rsidRPr="006C2CE7">
        <w:rPr>
          <w:shd w:val="clear" w:color="auto" w:fill="FFFFFF"/>
        </w:rPr>
        <w:t>for value added tax (VAT)</w:t>
      </w:r>
      <w:r>
        <w:rPr>
          <w:shd w:val="clear" w:color="auto" w:fill="FFFFFF"/>
        </w:rPr>
        <w:t xml:space="preserve"> in Wales</w:t>
      </w:r>
      <w:r w:rsidR="00231ED8">
        <w:rPr>
          <w:shd w:val="clear" w:color="auto" w:fill="FFFFFF"/>
        </w:rPr>
        <w:t>.</w:t>
      </w:r>
    </w:p>
  </w:footnote>
  <w:footnote w:id="4">
    <w:p w:rsidR="00EE64BE" w:rsidRDefault="00EE64BE" w:rsidP="00F522AF">
      <w:pPr>
        <w:pStyle w:val="Footnotes"/>
        <w:spacing w:line="240" w:lineRule="auto"/>
      </w:pPr>
      <w:r>
        <w:rPr>
          <w:rStyle w:val="FootnoteReference"/>
        </w:rPr>
        <w:footnoteRef/>
      </w:r>
      <w:r w:rsidR="006236A9">
        <w:t xml:space="preserve"> </w:t>
      </w:r>
      <w:r w:rsidR="006236A9" w:rsidRPr="00EE64BE">
        <w:fldChar w:fldCharType="begin" w:fldLock="1"/>
      </w:r>
      <w:r w:rsidR="006236A9" w:rsidRPr="00EE64BE">
        <w:instrText>ADDIN CSL_CITATION {"citationItems":[{"id":"ITEM-1","itemData":{"DOI":"10.1093/scipol/scv012","ISSN":"03023427","abstract":"An invisible revolution, known as the third mission, is claimed to be occurring within universities. Accordingly, the canonical missions associated with research and teaching have been integrated with the one aimed at territorial development. But do all universities conceive the third mission in the same way? This paper tries to elucidate which organizational orientations emerge by classify-ing the espoused values embedded within the statutes of 75 Italian universities. Using a quali-tative content analysis, we highlighted four orientation patterns: first, need for coherence, focused on balancing public functions and third-mission activities; second, exploitation, focused on patent disclosure; third, openness, readiness to participate in external change and to satisfy external needs; and finally, old school, focused on entrepreneurial activities as a source of funding. This classification shows a more complex phenomenon for the institutionalization of the third mission with respect to a simple binary public–private opposition.","author":[{"dropping-particle":"","family":"Loi","given":"Michela","non-dropping-particle":"","parse-names":false,"suffix":""},{"dropping-particle":"","family":"Guardo","given":"Maria Chiara","non-dropping-particle":"Di","parse-names":false,"suffix":""}],"container-title":"Science and Public Policy","id":"ITEM-1","issued":{"date-parts":[["2015"]]},"title":"The third mission of universities: An investigation of the espoused","type":"article-journal"},"uris":["http://www.mendeley.com/documents/?uuid=3cda9b4c-eb9d-4cd5-b58a-4f3dfeac2d69"]}],"mendeley":{"formattedCitation":"Michela Loi and Maria Chiara Di Guardo, ‘The Third Mission of Universities: An Investigation of the Espoused’ [2015] Science and Public Policy.","manualFormatting":"Michela Loi and Maria Chiara Di Guardo, ‘The Third Mission of Universities: An Investigation of the Espoused Values' [2015] Volume 42, Issue 6, Science and Public Policy","plainTextFormattedCitation":"Michela Loi and Maria Chiara Di Guardo, ‘The Third Mission of Universities: An Investigation of the Espoused’ [2015] Science and Public Policy.","previouslyFormattedCitation":"Michela Loi and Maria Chiara Di Guardo, ‘The Third Mission of Universities: An Investigation of the Espoused’ [2015] Science and Public Policy."},"properties":{"noteIndex":4},"schema":"https://github.com/citation-style-language/schema/raw/master/csl-citation.json"}</w:instrText>
      </w:r>
      <w:r w:rsidR="006236A9" w:rsidRPr="00EE64BE">
        <w:fldChar w:fldCharType="separate"/>
      </w:r>
      <w:r w:rsidR="006236A9" w:rsidRPr="00EE64BE">
        <w:t xml:space="preserve">Michela Loi </w:t>
      </w:r>
      <w:r w:rsidR="006236A9">
        <w:t>&amp;</w:t>
      </w:r>
      <w:r w:rsidR="006236A9" w:rsidRPr="00EE64BE">
        <w:t xml:space="preserve"> Maria Chiara Di Guardo, </w:t>
      </w:r>
      <w:r w:rsidR="006236A9" w:rsidRPr="006236A9">
        <w:rPr>
          <w:u w:val="single"/>
        </w:rPr>
        <w:t>The Third Mission of Universities: An Investigation of the Espoused Values</w:t>
      </w:r>
      <w:r w:rsidR="006236A9">
        <w:t xml:space="preserve">, </w:t>
      </w:r>
      <w:r w:rsidR="003B14D7">
        <w:t>42 Science and Public Policy</w:t>
      </w:r>
      <w:r w:rsidR="00E5495A">
        <w:t xml:space="preserve"> </w:t>
      </w:r>
      <w:r w:rsidR="006236A9">
        <w:t>855</w:t>
      </w:r>
      <w:r w:rsidR="006236A9" w:rsidRPr="00EE64BE">
        <w:fldChar w:fldCharType="end"/>
      </w:r>
      <w:r w:rsidR="006236A9" w:rsidRPr="00EE64BE">
        <w:t xml:space="preserve"> </w:t>
      </w:r>
      <w:r w:rsidR="006236A9">
        <w:t>(2015).</w:t>
      </w:r>
    </w:p>
  </w:footnote>
  <w:footnote w:id="5">
    <w:p w:rsidR="00EE64BE" w:rsidRDefault="00EE64BE" w:rsidP="00F522AF">
      <w:pPr>
        <w:pStyle w:val="Footnotes"/>
        <w:spacing w:line="240" w:lineRule="auto"/>
      </w:pPr>
      <w:r>
        <w:rPr>
          <w:rStyle w:val="FootnoteReference"/>
        </w:rPr>
        <w:footnoteRef/>
      </w:r>
      <w:r>
        <w:t xml:space="preserve"> </w:t>
      </w:r>
      <w:r w:rsidRPr="002B4838">
        <w:t xml:space="preserve">This was </w:t>
      </w:r>
      <w:r>
        <w:t>well expressed by the Deputy Chairman of IP Wales, Professor Andrew Davies AM (then Minister Economic Development and Transport, Welsh Assembly Government), “</w:t>
      </w:r>
      <w:r w:rsidRPr="00BC6933">
        <w:t xml:space="preserve">I was made aware of our need in Wales for this Business Support Initiative when judging the Finals of the ‘One2One’ Business Awards in 2000. Proper use of intellectual property assets is essential in order to create the </w:t>
      </w:r>
      <w:r>
        <w:t>‘</w:t>
      </w:r>
      <w:r w:rsidRPr="00BC6933">
        <w:t>Dragon Economy</w:t>
      </w:r>
      <w:r>
        <w:t>’</w:t>
      </w:r>
      <w:r w:rsidRPr="00BC6933">
        <w:t xml:space="preserve">, a value-added, knowledge-based economy for Wales and the winning of the Award by the </w:t>
      </w:r>
      <w:r w:rsidRPr="00F522AF">
        <w:t>Swansea</w:t>
      </w:r>
      <w:r w:rsidRPr="00BC6933">
        <w:t xml:space="preserve"> Pilot Project set the foundations for IP Wales.</w:t>
      </w:r>
      <w:r>
        <w:t xml:space="preserve">” </w:t>
      </w:r>
      <w:r w:rsidRPr="006236A9">
        <w:rPr>
          <w:u w:val="single"/>
        </w:rPr>
        <w:t>Our First Year of Achievement</w:t>
      </w:r>
      <w:r>
        <w:t>,</w:t>
      </w:r>
      <w:r>
        <w:rPr>
          <w:i/>
          <w:iCs/>
        </w:rPr>
        <w:t xml:space="preserve"> </w:t>
      </w:r>
      <w:r>
        <w:t>IP Wales Annual Report</w:t>
      </w:r>
      <w:r w:rsidR="006236A9">
        <w:t>, 5 (2003)</w:t>
      </w:r>
      <w:r>
        <w:t>. Professor Davies went on to describe IP Wales as a “</w:t>
      </w:r>
      <w:r w:rsidRPr="00BC6933">
        <w:rPr>
          <w:b/>
          <w:bCs/>
        </w:rPr>
        <w:t>joint</w:t>
      </w:r>
      <w:r w:rsidRPr="00BC6933">
        <w:t xml:space="preserve"> business support and research initiative…</w:t>
      </w:r>
      <w:r w:rsidR="00912602" w:rsidRPr="00BC6933">
        <w:t>recognized</w:t>
      </w:r>
      <w:r w:rsidRPr="00BC6933">
        <w:t xml:space="preserve"> by the World Intellectual Property Organi</w:t>
      </w:r>
      <w:r>
        <w:t>z</w:t>
      </w:r>
      <w:r w:rsidRPr="00BC6933">
        <w:t xml:space="preserve">ation (WIPO) as a </w:t>
      </w:r>
      <w:r w:rsidR="006236A9">
        <w:t>‘</w:t>
      </w:r>
      <w:r w:rsidRPr="00BC6933">
        <w:t xml:space="preserve">world-class’ example of best practice in </w:t>
      </w:r>
      <w:r w:rsidRPr="00495B8F">
        <w:t>business support”</w:t>
      </w:r>
      <w:r w:rsidR="00B4177B">
        <w:t>,</w:t>
      </w:r>
      <w:r w:rsidRPr="00495B8F">
        <w:t xml:space="preserve"> Answer to National Assembly for Wales question OAQ33666, </w:t>
      </w:r>
      <w:r w:rsidR="00B4177B">
        <w:t xml:space="preserve">(Mar. </w:t>
      </w:r>
      <w:r w:rsidR="00694854" w:rsidRPr="00495B8F">
        <w:t>31,</w:t>
      </w:r>
      <w:r w:rsidRPr="00495B8F">
        <w:t xml:space="preserve"> 2004</w:t>
      </w:r>
      <w:r w:rsidR="00B4177B">
        <w:t>)</w:t>
      </w:r>
      <w:r w:rsidR="00B1641B">
        <w:t>.</w:t>
      </w:r>
      <w:r w:rsidRPr="00495B8F">
        <w:t xml:space="preserve"> (</w:t>
      </w:r>
      <w:r w:rsidRPr="00EE64BE">
        <w:rPr>
          <w:i/>
          <w:iCs/>
        </w:rPr>
        <w:t>emphasis added</w:t>
      </w:r>
      <w:r w:rsidRPr="00495B8F">
        <w:t>)</w:t>
      </w:r>
    </w:p>
  </w:footnote>
  <w:footnote w:id="6">
    <w:p w:rsidR="00EE64BE" w:rsidRDefault="00EE64BE" w:rsidP="00F522AF">
      <w:pPr>
        <w:pStyle w:val="Footnotes"/>
        <w:spacing w:line="240" w:lineRule="auto"/>
      </w:pPr>
      <w:r>
        <w:rPr>
          <w:rStyle w:val="FootnoteReference"/>
        </w:rPr>
        <w:footnoteRef/>
      </w:r>
      <w:r>
        <w:t xml:space="preserve"> </w:t>
      </w:r>
      <w:r w:rsidRPr="00495B8F">
        <w:t xml:space="preserve">Lord Griffiths (Vice Chairman Goldman Sachs International), </w:t>
      </w:r>
      <w:r w:rsidRPr="00B1641B">
        <w:rPr>
          <w:u w:val="single"/>
        </w:rPr>
        <w:t>Our First Year of Achievement</w:t>
      </w:r>
      <w:r w:rsidRPr="00495B8F">
        <w:t>, IP Wales Annual Report</w:t>
      </w:r>
      <w:r w:rsidR="00B1641B">
        <w:t>, 4 (2003).</w:t>
      </w:r>
      <w:r w:rsidRPr="00495B8F">
        <w:t xml:space="preserve"> </w:t>
      </w:r>
    </w:p>
  </w:footnote>
  <w:footnote w:id="7">
    <w:p w:rsidR="00EE64BE" w:rsidRDefault="00EE64BE" w:rsidP="00F522AF">
      <w:pPr>
        <w:pStyle w:val="Footnotes"/>
        <w:spacing w:line="240" w:lineRule="auto"/>
      </w:pPr>
      <w:r>
        <w:rPr>
          <w:rStyle w:val="FootnoteReference"/>
        </w:rPr>
        <w:footnoteRef/>
      </w:r>
      <w:r>
        <w:t xml:space="preserve"> </w:t>
      </w:r>
      <w:r w:rsidRPr="00016CF8">
        <w:t>European Union funding of £1,065,021under ERDF Project ID 53611 approved 13 June 2002 (see Welsh European Funding Office (WEFO)</w:t>
      </w:r>
      <w:r w:rsidR="00B1641B">
        <w:t>,</w:t>
      </w:r>
      <w:r w:rsidRPr="00016CF8">
        <w:t xml:space="preserve"> </w:t>
      </w:r>
      <w:r w:rsidRPr="00B1641B">
        <w:rPr>
          <w:u w:val="single"/>
        </w:rPr>
        <w:t>Europe and Wales: Investing in your Future</w:t>
      </w:r>
      <w:r w:rsidRPr="00016CF8">
        <w:t>)</w:t>
      </w:r>
      <w:r w:rsidR="00E5495A">
        <w:t>.</w:t>
      </w:r>
    </w:p>
  </w:footnote>
  <w:footnote w:id="8">
    <w:p w:rsidR="00016CF8" w:rsidRDefault="00016CF8" w:rsidP="00F522AF">
      <w:pPr>
        <w:pStyle w:val="Footnotes"/>
        <w:spacing w:line="240" w:lineRule="auto"/>
      </w:pPr>
      <w:r>
        <w:rPr>
          <w:rStyle w:val="FootnoteReference"/>
        </w:rPr>
        <w:footnoteRef/>
      </w:r>
      <w:r>
        <w:t xml:space="preserve"> </w:t>
      </w:r>
      <w:r w:rsidRPr="00495B8F">
        <w:t xml:space="preserve">53 x GB, 45 x PCT, 34 x EP, 31 x US, 10 x CA, 5 x AU, 4 x DE, 2 x CN/FR/IT/JP/NZ/NO/PL/ES, 1 x BR/HK/IN/IE/IL/SG/ZA, </w:t>
      </w:r>
      <w:r w:rsidRPr="00B1641B">
        <w:rPr>
          <w:u w:val="single"/>
        </w:rPr>
        <w:t>Making a Difference to the Dragon Economy</w:t>
      </w:r>
      <w:r w:rsidRPr="00495B8F">
        <w:t>, IP Wales Annual Report</w:t>
      </w:r>
      <w:r w:rsidR="00B1641B">
        <w:t>, 5 (2005).</w:t>
      </w:r>
      <w:r w:rsidRPr="00495B8F">
        <w:t xml:space="preserve"> </w:t>
      </w:r>
    </w:p>
  </w:footnote>
  <w:footnote w:id="9">
    <w:p w:rsidR="00016CF8" w:rsidRDefault="00016CF8" w:rsidP="00F522AF">
      <w:pPr>
        <w:pStyle w:val="Footnotes"/>
        <w:spacing w:line="240" w:lineRule="auto"/>
      </w:pPr>
      <w:r>
        <w:rPr>
          <w:rStyle w:val="FootnoteReference"/>
        </w:rPr>
        <w:footnoteRef/>
      </w:r>
      <w:r>
        <w:t xml:space="preserve"> </w:t>
      </w:r>
      <w:r w:rsidRPr="00016CF8">
        <w:t xml:space="preserve">23 x GB, 20 x CTM (now EM), 13 x US, 2 x CA, 1 x AU/NZ, </w:t>
      </w:r>
      <w:r w:rsidRPr="00B1641B">
        <w:rPr>
          <w:u w:val="single"/>
        </w:rPr>
        <w:t>Making a Difference to the Dragon Economy</w:t>
      </w:r>
      <w:r w:rsidRPr="00016CF8">
        <w:t>, IP Wales Annual Report</w:t>
      </w:r>
      <w:r w:rsidR="00B1641B">
        <w:t>, 6 (2005).</w:t>
      </w:r>
    </w:p>
  </w:footnote>
  <w:footnote w:id="10">
    <w:p w:rsidR="00016CF8" w:rsidRDefault="00016CF8" w:rsidP="00F522AF">
      <w:pPr>
        <w:pStyle w:val="Footnotes"/>
        <w:spacing w:line="240" w:lineRule="auto"/>
      </w:pPr>
      <w:r>
        <w:rPr>
          <w:rStyle w:val="FootnoteReference"/>
        </w:rPr>
        <w:footnoteRef/>
      </w:r>
      <w:r>
        <w:t xml:space="preserve"> </w:t>
      </w:r>
      <w:r w:rsidRPr="00016CF8">
        <w:t xml:space="preserve">3 x GB/US, 2 x CDR (now EM), 1 x AU/CA/FR/DE, </w:t>
      </w:r>
      <w:r w:rsidRPr="00B1641B">
        <w:rPr>
          <w:u w:val="single"/>
        </w:rPr>
        <w:t>Making a Difference to the Dragon Economy</w:t>
      </w:r>
      <w:r w:rsidRPr="00016CF8">
        <w:t>, IP Wales Annual Report</w:t>
      </w:r>
      <w:r w:rsidR="00B1641B">
        <w:t>, 6 (2005).</w:t>
      </w:r>
    </w:p>
  </w:footnote>
  <w:footnote w:id="11">
    <w:p w:rsidR="00016CF8" w:rsidRDefault="00016CF8" w:rsidP="00F522AF">
      <w:pPr>
        <w:pStyle w:val="Footnotes"/>
        <w:spacing w:line="240" w:lineRule="auto"/>
      </w:pPr>
      <w:r>
        <w:rPr>
          <w:rStyle w:val="FootnoteReference"/>
        </w:rPr>
        <w:footnoteRef/>
      </w:r>
      <w:r>
        <w:t xml:space="preserve"> </w:t>
      </w:r>
      <w:r w:rsidRPr="00016CF8">
        <w:t>In recognition of which IP Wales was the recipient of the Judges Special Award at the WORLDleaders European Intellectual Property Awards (2004)</w:t>
      </w:r>
      <w:r w:rsidR="00B1641B">
        <w:t>.</w:t>
      </w:r>
    </w:p>
  </w:footnote>
  <w:footnote w:id="12">
    <w:p w:rsidR="00016CF8" w:rsidRDefault="00016CF8" w:rsidP="00F522AF">
      <w:pPr>
        <w:pStyle w:val="Footnotes"/>
        <w:spacing w:line="240" w:lineRule="auto"/>
      </w:pPr>
      <w:r>
        <w:rPr>
          <w:rStyle w:val="FootnoteReference"/>
        </w:rPr>
        <w:footnoteRef/>
      </w:r>
      <w:r>
        <w:t xml:space="preserve"> </w:t>
      </w:r>
      <w:r w:rsidRPr="00016CF8">
        <w:rPr>
          <w:rFonts w:hint="cs"/>
        </w:rPr>
        <w:t>QED became a subsidiary of Innovation Development on 13 May 2004, which in turn became part of Novagraaf Ltd</w:t>
      </w:r>
      <w:r w:rsidR="00B1641B">
        <w:t>.</w:t>
      </w:r>
      <w:r w:rsidRPr="00016CF8">
        <w:rPr>
          <w:rFonts w:hint="cs"/>
        </w:rPr>
        <w:t xml:space="preserve"> on 1 February 2008</w:t>
      </w:r>
      <w:r w:rsidR="00B1641B">
        <w:t>.</w:t>
      </w:r>
    </w:p>
  </w:footnote>
  <w:footnote w:id="13">
    <w:p w:rsidR="00016CF8" w:rsidRDefault="00016CF8" w:rsidP="00F522AF">
      <w:pPr>
        <w:pStyle w:val="Footnotes"/>
        <w:spacing w:line="240" w:lineRule="auto"/>
      </w:pPr>
      <w:r>
        <w:rPr>
          <w:rStyle w:val="FootnoteReference"/>
        </w:rPr>
        <w:footnoteRef/>
      </w:r>
      <w:r>
        <w:t xml:space="preserve"> </w:t>
      </w:r>
      <w:r w:rsidRPr="00016CF8">
        <w:t xml:space="preserve">QED Intellectual Property a scipher company, </w:t>
      </w:r>
      <w:r w:rsidRPr="00B1641B">
        <w:rPr>
          <w:u w:val="single"/>
        </w:rPr>
        <w:t>Evaluation and Validation of Intellectual Property by IP Wales Grant Award Candidates</w:t>
      </w:r>
      <w:r w:rsidR="00B1641B">
        <w:rPr>
          <w:u w:val="single"/>
        </w:rPr>
        <w:t>,</w:t>
      </w:r>
      <w:r w:rsidRPr="00B1641B">
        <w:t xml:space="preserve"> (</w:t>
      </w:r>
      <w:r w:rsidRPr="00016CF8">
        <w:t>2004)</w:t>
      </w:r>
      <w:r w:rsidR="00B1641B">
        <w:t>.</w:t>
      </w:r>
    </w:p>
  </w:footnote>
  <w:footnote w:id="14">
    <w:p w:rsidR="00016CF8" w:rsidRDefault="00016CF8" w:rsidP="00F522AF">
      <w:pPr>
        <w:pStyle w:val="Footnotes"/>
        <w:spacing w:line="240" w:lineRule="auto"/>
      </w:pPr>
      <w:r>
        <w:rPr>
          <w:rStyle w:val="FootnoteReference"/>
        </w:rPr>
        <w:footnoteRef/>
      </w:r>
      <w:r>
        <w:t xml:space="preserve"> </w:t>
      </w:r>
      <w:r w:rsidRPr="00016CF8">
        <w:t>Whereas the QED experience was “know-how” is often the most valuable element of any SME invention</w:t>
      </w:r>
      <w:r w:rsidR="00B1641B">
        <w:t>.</w:t>
      </w:r>
    </w:p>
  </w:footnote>
  <w:footnote w:id="15">
    <w:p w:rsidR="00016CF8" w:rsidRDefault="00016CF8" w:rsidP="00F522AF">
      <w:pPr>
        <w:pStyle w:val="Footnotes"/>
        <w:spacing w:line="240" w:lineRule="auto"/>
      </w:pPr>
      <w:r>
        <w:rPr>
          <w:rStyle w:val="FootnoteReference"/>
        </w:rPr>
        <w:footnoteRef/>
      </w:r>
      <w:r>
        <w:t xml:space="preserve"> </w:t>
      </w:r>
      <w:r w:rsidRPr="00016CF8">
        <w:t>Whereas the QED experience was most inventions present only minor technical advances</w:t>
      </w:r>
      <w:r w:rsidR="00B1641B">
        <w:t>.</w:t>
      </w:r>
    </w:p>
  </w:footnote>
  <w:footnote w:id="16">
    <w:p w:rsidR="00016CF8" w:rsidRDefault="00016CF8" w:rsidP="00F522AF">
      <w:pPr>
        <w:pStyle w:val="Footnotes"/>
        <w:spacing w:line="240" w:lineRule="auto"/>
      </w:pPr>
      <w:r>
        <w:rPr>
          <w:rStyle w:val="FootnoteReference"/>
        </w:rPr>
        <w:footnoteRef/>
      </w:r>
      <w:r>
        <w:t xml:space="preserve"> </w:t>
      </w:r>
      <w:r w:rsidRPr="00495B8F">
        <w:t xml:space="preserve">Jane Lambert, </w:t>
      </w:r>
      <w:r w:rsidRPr="00B1641B">
        <w:rPr>
          <w:u w:val="single"/>
        </w:rPr>
        <w:t>IP Insurance</w:t>
      </w:r>
      <w:r w:rsidR="00B1641B">
        <w:t xml:space="preserve">, </w:t>
      </w:r>
      <w:r w:rsidRPr="00495B8F">
        <w:t xml:space="preserve">nipc inventors club, </w:t>
      </w:r>
      <w:r w:rsidR="00B1641B">
        <w:t>(</w:t>
      </w:r>
      <w:r w:rsidR="000311E4">
        <w:t>Aug. 7, 2018, 3:31 PM</w:t>
      </w:r>
      <w:r w:rsidRPr="00495B8F">
        <w:t>)</w:t>
      </w:r>
      <w:r w:rsidR="00B1641B">
        <w:t xml:space="preserve">, </w:t>
      </w:r>
      <w:hyperlink r:id="rId1" w:history="1">
        <w:r w:rsidR="00B1641B" w:rsidRPr="00F56C93">
          <w:rPr>
            <w:rStyle w:val="Hyperlink"/>
          </w:rPr>
          <w:t>http://nipcinvention.blogspot.com/2005/09/ip-insurance.html</w:t>
        </w:r>
      </w:hyperlink>
      <w:r w:rsidR="000311E4">
        <w:t>.</w:t>
      </w:r>
    </w:p>
  </w:footnote>
  <w:footnote w:id="17">
    <w:p w:rsidR="00016CF8" w:rsidRDefault="00016CF8" w:rsidP="00F522AF">
      <w:pPr>
        <w:pStyle w:val="Footnotes"/>
        <w:spacing w:line="240" w:lineRule="auto"/>
      </w:pPr>
      <w:r>
        <w:rPr>
          <w:rStyle w:val="FootnoteReference"/>
        </w:rPr>
        <w:footnoteRef/>
      </w:r>
      <w:r>
        <w:t xml:space="preserve"> </w:t>
      </w:r>
      <w:r w:rsidRPr="00F522AF">
        <w:t>Andrew Beale</w:t>
      </w:r>
      <w:r w:rsidRPr="00495B8F">
        <w:t xml:space="preserve">, </w:t>
      </w:r>
      <w:r w:rsidRPr="000311E4">
        <w:rPr>
          <w:u w:val="single"/>
        </w:rPr>
        <w:t>The Challenges of a Dynamic Digital World</w:t>
      </w:r>
      <w:r w:rsidR="000311E4">
        <w:t>,</w:t>
      </w:r>
      <w:r w:rsidRPr="00495B8F">
        <w:t xml:space="preserve"> 5th Annual MarkMonitor Anti-Piracy Conference (2016)</w:t>
      </w:r>
      <w:r w:rsidR="000311E4">
        <w:t>.</w:t>
      </w:r>
    </w:p>
  </w:footnote>
  <w:footnote w:id="18">
    <w:p w:rsidR="00016CF8" w:rsidRDefault="00016CF8" w:rsidP="00F522AF">
      <w:pPr>
        <w:pStyle w:val="Footnotes"/>
        <w:spacing w:line="240" w:lineRule="auto"/>
      </w:pPr>
      <w:r>
        <w:rPr>
          <w:rStyle w:val="FootnoteReference"/>
        </w:rPr>
        <w:footnoteRef/>
      </w:r>
      <w:r>
        <w:t xml:space="preserve"> </w:t>
      </w:r>
      <w:r w:rsidRPr="00016CF8">
        <w:t xml:space="preserve">This figure is comparable with the UK average for businesses only surviving into their fourth year of operation (see </w:t>
      </w:r>
      <w:r w:rsidR="003B14D7">
        <w:t xml:space="preserve">UK </w:t>
      </w:r>
      <w:r w:rsidRPr="00016CF8">
        <w:t>Office for National Statistics, Business demography, UK:2016)</w:t>
      </w:r>
      <w:r w:rsidR="000311E4">
        <w:t>.</w:t>
      </w:r>
    </w:p>
  </w:footnote>
  <w:footnote w:id="19">
    <w:p w:rsidR="00E976D5" w:rsidRDefault="00E976D5" w:rsidP="00F522AF">
      <w:pPr>
        <w:pStyle w:val="Footnotes"/>
        <w:spacing w:line="240" w:lineRule="auto"/>
      </w:pPr>
      <w:r>
        <w:rPr>
          <w:rStyle w:val="FootnoteReference"/>
        </w:rPr>
        <w:footnoteRef/>
      </w:r>
      <w:r>
        <w:t xml:space="preserve"> </w:t>
      </w:r>
      <w:r w:rsidR="000311E4">
        <w:t>Merchant Sav</w:t>
      </w:r>
      <w:r w:rsidR="001F2BBF">
        <w:t>v</w:t>
      </w:r>
      <w:r w:rsidR="000311E4">
        <w:t xml:space="preserve">y, </w:t>
      </w:r>
      <w:r w:rsidRPr="000311E4">
        <w:rPr>
          <w:u w:val="single"/>
        </w:rPr>
        <w:t>UK SME Data, Statistics and Charts</w:t>
      </w:r>
      <w:r w:rsidR="000311E4">
        <w:t>,</w:t>
      </w:r>
      <w:r w:rsidRPr="00495B8F">
        <w:t xml:space="preserve"> </w:t>
      </w:r>
      <w:r w:rsidR="000311E4">
        <w:t xml:space="preserve">(Aug. 9, 2019, 10:30 AM), </w:t>
      </w:r>
      <w:hyperlink r:id="rId2" w:history="1">
        <w:r w:rsidR="000311E4" w:rsidRPr="00F56C93">
          <w:rPr>
            <w:rStyle w:val="Hyperlink"/>
          </w:rPr>
          <w:t>https://www.merchantsavvy.co.uk/uk-sme-data-stats-charts/</w:t>
        </w:r>
      </w:hyperlink>
      <w:r w:rsidR="000311E4">
        <w:t>.</w:t>
      </w:r>
    </w:p>
  </w:footnote>
  <w:footnote w:id="20">
    <w:p w:rsidR="00E976D5" w:rsidRDefault="00E976D5" w:rsidP="00F522AF">
      <w:pPr>
        <w:pStyle w:val="Footnotes"/>
        <w:spacing w:line="240" w:lineRule="auto"/>
      </w:pPr>
      <w:r>
        <w:rPr>
          <w:rStyle w:val="FootnoteReference"/>
        </w:rPr>
        <w:footnoteRef/>
      </w:r>
      <w:r>
        <w:t xml:space="preserve"> </w:t>
      </w:r>
      <w:r w:rsidRPr="00495B8F">
        <w:t>EP, GB, JP, US, CA</w:t>
      </w:r>
      <w:r w:rsidR="000311E4">
        <w:t>.</w:t>
      </w:r>
    </w:p>
  </w:footnote>
  <w:footnote w:id="21">
    <w:p w:rsidR="00E976D5" w:rsidRDefault="00E976D5" w:rsidP="00F522AF">
      <w:pPr>
        <w:pStyle w:val="Footnotes"/>
        <w:spacing w:line="240" w:lineRule="auto"/>
      </w:pPr>
      <w:r>
        <w:rPr>
          <w:rStyle w:val="FootnoteReference"/>
        </w:rPr>
        <w:footnoteRef/>
      </w:r>
      <w:r>
        <w:t xml:space="preserve"> </w:t>
      </w:r>
      <w:r w:rsidRPr="00495B8F">
        <w:t>Namely, a Superconducting Quantum Interference Device (SQUID)</w:t>
      </w:r>
      <w:r w:rsidR="003B14D7">
        <w:t>.</w:t>
      </w:r>
    </w:p>
  </w:footnote>
  <w:footnote w:id="22">
    <w:p w:rsidR="00E976D5" w:rsidRPr="00E976D5" w:rsidRDefault="00E976D5" w:rsidP="00F522AF">
      <w:pPr>
        <w:pStyle w:val="Footnotes"/>
        <w:spacing w:line="240" w:lineRule="auto"/>
      </w:pPr>
      <w:r>
        <w:rPr>
          <w:rStyle w:val="FootnoteReference"/>
        </w:rPr>
        <w:footnoteRef/>
      </w:r>
      <w:r>
        <w:t xml:space="preserve"> </w:t>
      </w:r>
      <w:r w:rsidRPr="00F522AF">
        <w:t>Andrew Beale</w:t>
      </w:r>
      <w:r w:rsidRPr="00E976D5">
        <w:t xml:space="preserve">, </w:t>
      </w:r>
      <w:r w:rsidRPr="000311E4">
        <w:rPr>
          <w:u w:val="single"/>
        </w:rPr>
        <w:t>New and Improved Programs and Services of IP Offices and Innovation Institutions for Supporting the Business Use of IP Assets</w:t>
      </w:r>
      <w:r w:rsidR="000311E4">
        <w:t>,</w:t>
      </w:r>
      <w:r w:rsidRPr="00E976D5">
        <w:t xml:space="preserve"> 6th Annual World Intellectual Property Organization (WIPO) Forum on intellectual property and small and medium-sized enterprises for Intellectual Property offices and other relevant institutions in the Organization for Economic Co-operation and Development (OECD) countries (2008)</w:t>
      </w:r>
      <w:r w:rsidR="000311E4">
        <w:t>.</w:t>
      </w:r>
    </w:p>
  </w:footnote>
  <w:footnote w:id="23">
    <w:p w:rsidR="00E976D5" w:rsidRDefault="00E976D5" w:rsidP="00F522AF">
      <w:pPr>
        <w:pStyle w:val="Footnotes"/>
        <w:spacing w:line="240" w:lineRule="auto"/>
      </w:pPr>
      <w:r>
        <w:rPr>
          <w:rStyle w:val="FootnoteReference"/>
        </w:rPr>
        <w:footnoteRef/>
      </w:r>
      <w:r>
        <w:t xml:space="preserve"> </w:t>
      </w:r>
      <w:r w:rsidRPr="00E976D5">
        <w:t xml:space="preserve">Welsh Assembly Government Economic Development and Transport Committee, </w:t>
      </w:r>
      <w:r w:rsidRPr="000311E4">
        <w:rPr>
          <w:u w:val="single"/>
        </w:rPr>
        <w:t>Review of W</w:t>
      </w:r>
      <w:r w:rsidR="000311E4" w:rsidRPr="000311E4">
        <w:rPr>
          <w:u w:val="single"/>
        </w:rPr>
        <w:t>ales Science Policy</w:t>
      </w:r>
      <w:r w:rsidR="000311E4">
        <w:t>, 2 (2006)</w:t>
      </w:r>
      <w:r w:rsidR="003B14D7">
        <w:t>.</w:t>
      </w:r>
    </w:p>
  </w:footnote>
  <w:footnote w:id="24">
    <w:p w:rsidR="00E976D5" w:rsidRDefault="00E976D5" w:rsidP="00F522AF">
      <w:pPr>
        <w:pStyle w:val="Footnotes"/>
        <w:spacing w:line="240" w:lineRule="auto"/>
      </w:pPr>
      <w:r>
        <w:rPr>
          <w:rStyle w:val="FootnoteReference"/>
        </w:rPr>
        <w:footnoteRef/>
      </w:r>
      <w:r>
        <w:t xml:space="preserve"> </w:t>
      </w:r>
      <w:r w:rsidR="007C058C">
        <w:t xml:space="preserve">Chesbrough, </w:t>
      </w:r>
      <w:r w:rsidR="007C058C" w:rsidRPr="007C058C">
        <w:rPr>
          <w:u w:val="single"/>
        </w:rPr>
        <w:t>supra</w:t>
      </w:r>
      <w:r w:rsidR="007C058C" w:rsidRPr="007C058C">
        <w:t xml:space="preserve">, </w:t>
      </w:r>
      <w:r w:rsidR="007C058C">
        <w:t>156</w:t>
      </w:r>
      <w:r w:rsidR="007C058C" w:rsidRPr="007C058C">
        <w:t>.</w:t>
      </w:r>
      <w:r w:rsidR="009939DA">
        <w:t xml:space="preserve"> </w:t>
      </w:r>
      <w:r w:rsidRPr="00E976D5">
        <w:t xml:space="preserve">Illustrative </w:t>
      </w:r>
      <w:r w:rsidR="00E4753B">
        <w:t xml:space="preserve">perhaps </w:t>
      </w:r>
      <w:r w:rsidRPr="00E976D5">
        <w:t xml:space="preserve">of this viewpoint is </w:t>
      </w:r>
      <w:r w:rsidRPr="00E976D5">
        <w:fldChar w:fldCharType="begin" w:fldLock="1"/>
      </w:r>
      <w:r w:rsidRPr="00E976D5">
        <w:instrText>ADDIN CSL_CITATION {"citationItems":[{"id":"ITEM-1","itemData":{"DOI":"10.1016/s0172-2190(00)00035-1","ISSN":"01722190","abstract":"FromForbesandFortuneto theWall Street JournalandHarvard Business Review,the pundits are calling it the next corporate strategy challenge: How to use patents and other intellectual property not just as legal tools but as weapons of business competition. WithRembrandts in the Attic, authors Kevin Rivette and David Kline provide the first practical and strategic guide that shows CEOs and other managers how to unlock the enormous financial and competitive power hidden in their patent portfolios. Writing engagingly and citing numerous case studies, the authors warn that firms can no longer ignore the growing power of patents in business competition. The competitive battles once fought for control of markets and raw materials are today increasingly being waged over the exclusive rights to new ideas and innovations. Where once executives may have feared that their competitors might out-market or out-produce them, they must now be concerned that rivals-especially in the booming e-commerce sectors of the Internet-may secure exclusive patent rights to the essential technologies or even to the fundamental business concepts that they need to be in business in the first place. Rembrandts in the Atticlifts the veil of secrecy surrounding the use of patents in business competition today, showing how some of the world's most successful firms-market leaders such as Intel and Microsoft, Lucent and Gillette, IBM, and Priceline.com-have used patents to capture and defend markets, outflank rivals, boost bottom-line revenues and shareholder return, and enhance the commercial success of their enterprises. Rembrandts in the Atticis a superb strategy guide that demonstrates the cross-functional value companies can gain by using patents and the gold mine of competitive intelligence that they contain. The book will enable readers to map out technology trends and convergences, uncover the strategies and capabilities of friends and foes alike, and strengthen the competitive efforts of every functional unit in the enterprise, from R&amp;D and marketing to finance, human resources, and mergers and acquisitions. CEOs will learn how to use the authors' patent-enhanced \"Grow-Fix-Sell triage\" to help them better allocate corporate resources and build a higher growth portfolio of businesses. R&amp;D managers can employ the authors' \"IP-3\" strategy to help build category-leading products, amplify the branding and marketing efforts devoted to them, and secure the key \"choke points\" that sustain the…","author":[{"dropping-particle":"","family":"Blackman","given":"M.J.R","non-dropping-particle":"","parse-names":false,"suffix":""}],"container-title":"World Patent Information","id":"ITEM-1","issued":{"date-parts":[["2000"]]},"title":"Rembrandts in the Attic: Unlocking the Hidden Value of Patents","type":"article-journal"},"uris":["http://www.mendeley.com/documents/?uuid=d7cd2fb2-4a78-4fb1-ae08-8855e3beafaf"]}],"mendeley":{"formattedCitation":"MJ. Blackman, ‘Rembrandts in the Attic: Unlocking the Hidden Value of Patents’ [2000] World Patent Information.","manualFormatting":"M.J.R. Blackman, ‘Rembrandts in the Attic: Unlocking the Hidden Value of Patents’ [2000] World Patent Information.","plainTextFormattedCitation":"MJ. Blackman, ‘Rembrandts in the Attic: Unlocking the Hidden Value of Patents’ [2000] World Patent Information.","previouslyFormattedCitation":"MJ. Blackman, ‘Rembrandts in the Attic: Unlocking the Hidden Value of Patents’ [2000] World Patent Information."},"properties":{"noteIndex":23},"schema":"https://github.com/citation-style-language/schema/raw/master/csl-citation.json"}</w:instrText>
      </w:r>
      <w:r w:rsidRPr="00E976D5">
        <w:fldChar w:fldCharType="separate"/>
      </w:r>
      <w:r w:rsidRPr="00E976D5">
        <w:t xml:space="preserve">M.J.R. Blackman, </w:t>
      </w:r>
      <w:r w:rsidRPr="007C058C">
        <w:rPr>
          <w:u w:val="single"/>
        </w:rPr>
        <w:t>Rembrandts in the Attic: Unlocking the Hidden Value of Patents</w:t>
      </w:r>
      <w:r w:rsidR="009939DA">
        <w:t>,</w:t>
      </w:r>
      <w:r w:rsidRPr="00E976D5">
        <w:t xml:space="preserve"> </w:t>
      </w:r>
      <w:r w:rsidR="009939DA">
        <w:t>(</w:t>
      </w:r>
      <w:r w:rsidRPr="00E976D5">
        <w:t>2000</w:t>
      </w:r>
      <w:r w:rsidR="009939DA">
        <w:t xml:space="preserve">) </w:t>
      </w:r>
      <w:r w:rsidRPr="00E976D5">
        <w:fldChar w:fldCharType="end"/>
      </w:r>
      <w:r w:rsidR="009939DA">
        <w:t>.</w:t>
      </w:r>
    </w:p>
  </w:footnote>
  <w:footnote w:id="25">
    <w:p w:rsidR="00E976D5" w:rsidRDefault="00E976D5" w:rsidP="00F522AF">
      <w:pPr>
        <w:pStyle w:val="Footnotes"/>
        <w:spacing w:line="240" w:lineRule="auto"/>
      </w:pPr>
      <w:r>
        <w:rPr>
          <w:rStyle w:val="FootnoteReference"/>
        </w:rPr>
        <w:footnoteRef/>
      </w:r>
      <w:r>
        <w:t xml:space="preserve"> </w:t>
      </w:r>
      <w:r w:rsidRPr="00E976D5">
        <w:fldChar w:fldCharType="begin" w:fldLock="1"/>
      </w:r>
      <w:r w:rsidRPr="00E976D5">
        <w:instrText>ADDIN CSL_CITATION {"citationItems":[{"id":"ITEM-1","itemData":{"DOI":"10.4324/9781315252186","author":[{"dropping-particle":"","family":"Manton","given":"Steve","non-dropping-particle":"","parse-names":false,"suffix":""}],"container-title":"Integrated Intellectual Asset Management","id":"ITEM-1","issued":{"date-parts":[["2017"]]},"title":"Integrated Intellectual Asset Management","type":"book"},"uris":["http://www.mendeley.com/documents/?uuid=d7094293-f033-4848-b6f0-fd966f0dee18"]}],"mendeley":{"formattedCitation":"Steve Manton, &lt;i&gt;Integrated Intellectual Asset Management&lt;/i&gt; (2017).","plainTextFormattedCitation":"Steve Manton, Integrated Intellectual Asset Management (2017)."},"properties":{"noteIndex":27},"schema":"https://github.com/citation-style-language/schema/raw/master/csl-citation.json"}</w:instrText>
      </w:r>
      <w:r w:rsidRPr="00E976D5">
        <w:fldChar w:fldCharType="separate"/>
      </w:r>
      <w:r w:rsidRPr="00E976D5">
        <w:t xml:space="preserve">Steve Manton, </w:t>
      </w:r>
      <w:r w:rsidRPr="009939DA">
        <w:rPr>
          <w:u w:val="single"/>
        </w:rPr>
        <w:t>Integrated Intellectual Asset Management</w:t>
      </w:r>
      <w:r w:rsidR="0025564A">
        <w:rPr>
          <w:u w:val="single"/>
        </w:rPr>
        <w:t>,</w:t>
      </w:r>
      <w:r w:rsidRPr="00E976D5">
        <w:t xml:space="preserve"> (eBook ed</w:t>
      </w:r>
      <w:r w:rsidR="009939DA">
        <w:t>.</w:t>
      </w:r>
      <w:r w:rsidRPr="00E976D5">
        <w:t xml:space="preserve"> 2017)</w:t>
      </w:r>
      <w:r w:rsidRPr="00E976D5">
        <w:fldChar w:fldCharType="end"/>
      </w:r>
      <w:r w:rsidR="009939DA">
        <w:t>.</w:t>
      </w:r>
    </w:p>
  </w:footnote>
  <w:footnote w:id="26">
    <w:p w:rsidR="00E976D5" w:rsidRDefault="00E976D5" w:rsidP="00FC76F6">
      <w:pPr>
        <w:pStyle w:val="Footnotes"/>
        <w:spacing w:line="240" w:lineRule="auto"/>
      </w:pPr>
      <w:r>
        <w:rPr>
          <w:rStyle w:val="FootnoteReference"/>
        </w:rPr>
        <w:footnoteRef/>
      </w:r>
      <w:r>
        <w:t xml:space="preserve"> </w:t>
      </w:r>
      <w:r w:rsidRPr="00E976D5">
        <w:t>Robin Jacob</w:t>
      </w:r>
      <w:r w:rsidR="009939DA">
        <w:t xml:space="preserve"> et al.</w:t>
      </w:r>
      <w:r w:rsidRPr="00E976D5">
        <w:t xml:space="preserve">, </w:t>
      </w:r>
      <w:r w:rsidRPr="009939DA">
        <w:rPr>
          <w:u w:val="single"/>
        </w:rPr>
        <w:t>Guidebook to Intellectual Property</w:t>
      </w:r>
      <w:r w:rsidR="009939DA" w:rsidRPr="009939DA">
        <w:t>,</w:t>
      </w:r>
      <w:r w:rsidRPr="00E976D5">
        <w:t xml:space="preserve"> (6th ed</w:t>
      </w:r>
      <w:r w:rsidR="009939DA">
        <w:t xml:space="preserve">. </w:t>
      </w:r>
      <w:r w:rsidRPr="00E976D5">
        <w:t>2013)</w:t>
      </w:r>
      <w:r w:rsidR="00172E17">
        <w:t>.</w:t>
      </w:r>
    </w:p>
  </w:footnote>
  <w:footnote w:id="27">
    <w:p w:rsidR="00E976D5" w:rsidRDefault="00E976D5" w:rsidP="00F522AF">
      <w:pPr>
        <w:pStyle w:val="Footnotes"/>
        <w:spacing w:line="240" w:lineRule="auto"/>
      </w:pPr>
      <w:r>
        <w:rPr>
          <w:rStyle w:val="FootnoteReference"/>
        </w:rPr>
        <w:footnoteRef/>
      </w:r>
      <w:r>
        <w:t xml:space="preserve"> </w:t>
      </w:r>
      <w:r w:rsidRPr="009939DA">
        <w:rPr>
          <w:u w:val="single"/>
        </w:rPr>
        <w:t>Intellectual Property and Innovation Management in Small Firms</w:t>
      </w:r>
      <w:r w:rsidRPr="00E976D5">
        <w:t xml:space="preserve">, </w:t>
      </w:r>
      <w:r w:rsidR="009939DA">
        <w:t>(</w:t>
      </w:r>
      <w:r w:rsidR="009939DA" w:rsidRPr="00E976D5">
        <w:t>Robert A. Black</w:t>
      </w:r>
      <w:r w:rsidR="009939DA">
        <w:t>burn, 2003).</w:t>
      </w:r>
    </w:p>
  </w:footnote>
  <w:footnote w:id="28">
    <w:p w:rsidR="00E976D5" w:rsidRDefault="00E976D5" w:rsidP="00F522AF">
      <w:pPr>
        <w:pStyle w:val="Footnotes"/>
        <w:spacing w:line="240" w:lineRule="auto"/>
      </w:pPr>
      <w:r>
        <w:rPr>
          <w:rStyle w:val="FootnoteReference"/>
        </w:rPr>
        <w:footnoteRef/>
      </w:r>
      <w:r>
        <w:t xml:space="preserve"> </w:t>
      </w:r>
      <w:r w:rsidRPr="00E976D5">
        <w:t xml:space="preserve">The Economic and Social Science Research Council (ESRC) held a one-day workshop by invitation hosted by the UKIPO leading to an “Intellectual Property Initiative” funded research </w:t>
      </w:r>
      <w:r w:rsidR="00912602" w:rsidRPr="00E976D5">
        <w:t>program</w:t>
      </w:r>
      <w:r w:rsidR="00172E17">
        <w:t>.</w:t>
      </w:r>
      <w:r w:rsidR="00912602" w:rsidRPr="00E976D5">
        <w:t xml:space="preserve"> </w:t>
      </w:r>
    </w:p>
  </w:footnote>
  <w:footnote w:id="29">
    <w:p w:rsidR="00E976D5" w:rsidRDefault="00E976D5" w:rsidP="00F522AF">
      <w:pPr>
        <w:pStyle w:val="Footnotes"/>
        <w:spacing w:line="240" w:lineRule="auto"/>
      </w:pPr>
      <w:r>
        <w:rPr>
          <w:rStyle w:val="FootnoteReference"/>
        </w:rPr>
        <w:footnoteRef/>
      </w:r>
      <w:r>
        <w:t xml:space="preserve"> </w:t>
      </w:r>
      <w:r w:rsidR="00172E17">
        <w:t xml:space="preserve">Blackburn, </w:t>
      </w:r>
      <w:r w:rsidR="00172E17" w:rsidRPr="00172E17">
        <w:rPr>
          <w:u w:val="single"/>
        </w:rPr>
        <w:t>supra</w:t>
      </w:r>
      <w:r w:rsidR="00172E17">
        <w:t>, 3.</w:t>
      </w:r>
    </w:p>
  </w:footnote>
  <w:footnote w:id="30">
    <w:p w:rsidR="00E976D5" w:rsidRDefault="00E976D5" w:rsidP="00F522AF">
      <w:pPr>
        <w:pStyle w:val="Footnotes"/>
        <w:spacing w:line="240" w:lineRule="auto"/>
      </w:pPr>
      <w:r>
        <w:rPr>
          <w:rStyle w:val="FootnoteReference"/>
        </w:rPr>
        <w:footnoteRef/>
      </w:r>
      <w:r>
        <w:t xml:space="preserve"> </w:t>
      </w:r>
      <w:r w:rsidRPr="00E976D5">
        <w:t>Id.</w:t>
      </w:r>
      <w:r w:rsidR="00172E17">
        <w:t>,</w:t>
      </w:r>
      <w:r w:rsidRPr="00E976D5">
        <w:t xml:space="preserve"> at 1</w:t>
      </w:r>
      <w:r w:rsidR="00172E17">
        <w:t>.</w:t>
      </w:r>
    </w:p>
  </w:footnote>
  <w:footnote w:id="31">
    <w:p w:rsidR="008C551C" w:rsidRDefault="008C551C" w:rsidP="00F522AF">
      <w:pPr>
        <w:pStyle w:val="Footnotes"/>
        <w:spacing w:line="240" w:lineRule="auto"/>
      </w:pPr>
      <w:r>
        <w:rPr>
          <w:rStyle w:val="FootnoteReference"/>
        </w:rPr>
        <w:footnoteRef/>
      </w:r>
      <w:r>
        <w:t xml:space="preserve"> </w:t>
      </w:r>
      <w:r w:rsidRPr="008C551C">
        <w:t xml:space="preserve">IP Wales was awarded PATLIB status by the European Patent Office in 2003, the first such </w:t>
      </w:r>
      <w:r w:rsidR="00912602" w:rsidRPr="008C551C">
        <w:t>center</w:t>
      </w:r>
      <w:r w:rsidRPr="008C551C">
        <w:t xml:space="preserve"> for Wales</w:t>
      </w:r>
      <w:r w:rsidR="00172E17">
        <w:t>.</w:t>
      </w:r>
    </w:p>
  </w:footnote>
  <w:footnote w:id="32">
    <w:p w:rsidR="008C551C" w:rsidRDefault="008C551C" w:rsidP="00F522AF">
      <w:pPr>
        <w:pStyle w:val="Footnotes"/>
        <w:spacing w:line="240" w:lineRule="auto"/>
      </w:pPr>
      <w:r>
        <w:rPr>
          <w:rStyle w:val="FootnoteReference"/>
        </w:rPr>
        <w:footnoteRef/>
      </w:r>
      <w:r>
        <w:t xml:space="preserve"> </w:t>
      </w:r>
      <w:r w:rsidRPr="008C551C">
        <w:t>Under a Trademark awareness project, the IP Wales Librarian carried out a trademark search for each SME member based upon their trading name and brand name(s). Out of the 1,456 SME members at that time, 99 owned trademarks protecting their trading name and brand name(s), 125 owned a trademark protecting their trading name only. The reminder had no trademark protection, with 265 SMEs alerted that they risked infringing a third party’s trademark registration</w:t>
      </w:r>
      <w:r w:rsidR="00172E17">
        <w:t>.</w:t>
      </w:r>
    </w:p>
  </w:footnote>
  <w:footnote w:id="33">
    <w:p w:rsidR="008C551C" w:rsidRDefault="008C551C" w:rsidP="00F522AF">
      <w:pPr>
        <w:pStyle w:val="Footnotes"/>
        <w:spacing w:line="240" w:lineRule="auto"/>
      </w:pPr>
      <w:r>
        <w:rPr>
          <w:rStyle w:val="FootnoteReference"/>
        </w:rPr>
        <w:footnoteRef/>
      </w:r>
      <w:r>
        <w:t xml:space="preserve"> </w:t>
      </w:r>
      <w:r w:rsidRPr="008C551C">
        <w:t>Objective One Region co-funded via grant by the EU and the Welsh Development Agency (WDA- now subsumed into the Welsh Government), Non-Objective One Region grant funded by the WDA</w:t>
      </w:r>
      <w:r w:rsidR="00172E17">
        <w:t>.</w:t>
      </w:r>
    </w:p>
  </w:footnote>
  <w:footnote w:id="34">
    <w:p w:rsidR="008C551C" w:rsidRDefault="008C551C" w:rsidP="00F522AF">
      <w:pPr>
        <w:pStyle w:val="Footnotes"/>
        <w:spacing w:line="240" w:lineRule="auto"/>
      </w:pPr>
      <w:r>
        <w:rPr>
          <w:rStyle w:val="FootnoteReference"/>
        </w:rPr>
        <w:footnoteRef/>
      </w:r>
      <w:r>
        <w:t xml:space="preserve"> </w:t>
      </w:r>
      <w:r w:rsidRPr="00495B8F">
        <w:t>IP Wales targets of 100 patent applications and 66 trademark applications, were apportioned by population to the Objective One Region and Non-Objective One Region</w:t>
      </w:r>
      <w:r w:rsidR="00172E17">
        <w:t>.</w:t>
      </w:r>
    </w:p>
  </w:footnote>
  <w:footnote w:id="35">
    <w:p w:rsidR="008C551C" w:rsidRDefault="008C551C" w:rsidP="00F522AF">
      <w:pPr>
        <w:pStyle w:val="Footnotes"/>
        <w:spacing w:line="240" w:lineRule="auto"/>
      </w:pPr>
      <w:r>
        <w:rPr>
          <w:rStyle w:val="FootnoteReference"/>
        </w:rPr>
        <w:footnoteRef/>
      </w:r>
      <w:r>
        <w:t xml:space="preserve"> </w:t>
      </w:r>
      <w:r w:rsidRPr="008C551C">
        <w:t>The artificial nature of the process is perhaps best illustrated by the SME grant applicant who responded to an IP Wales request to review their business plan, “yes of course, which one would you like to see?”</w:t>
      </w:r>
      <w:r w:rsidR="00172E17">
        <w:t>.</w:t>
      </w:r>
    </w:p>
  </w:footnote>
  <w:footnote w:id="36">
    <w:p w:rsidR="008C551C" w:rsidRDefault="008C551C" w:rsidP="00F522AF">
      <w:pPr>
        <w:pStyle w:val="Footnotes"/>
        <w:spacing w:line="240" w:lineRule="auto"/>
      </w:pPr>
      <w:r>
        <w:rPr>
          <w:rStyle w:val="FootnoteReference"/>
        </w:rPr>
        <w:footnoteRef/>
      </w:r>
      <w:r>
        <w:t xml:space="preserve"> </w:t>
      </w:r>
      <w:r w:rsidRPr="008C551C">
        <w:t xml:space="preserve">CRG Research, </w:t>
      </w:r>
      <w:r w:rsidRPr="00172E17">
        <w:rPr>
          <w:u w:val="single"/>
        </w:rPr>
        <w:t>An Evaluation of IP Wales (Phase 1) Final Report</w:t>
      </w:r>
      <w:r w:rsidRPr="008C551C">
        <w:t xml:space="preserve">, </w:t>
      </w:r>
      <w:r w:rsidR="00172E17">
        <w:t>17 (2003).</w:t>
      </w:r>
    </w:p>
  </w:footnote>
  <w:footnote w:id="37">
    <w:p w:rsidR="008C551C" w:rsidRDefault="008C551C" w:rsidP="00F522AF">
      <w:pPr>
        <w:pStyle w:val="Footnotes"/>
        <w:spacing w:line="240" w:lineRule="auto"/>
      </w:pPr>
      <w:r>
        <w:rPr>
          <w:rStyle w:val="FootnoteReference"/>
        </w:rPr>
        <w:footnoteRef/>
      </w:r>
      <w:r>
        <w:t xml:space="preserve"> </w:t>
      </w:r>
      <w:r w:rsidRPr="008C551C">
        <w:t xml:space="preserve">REF was first carried out in 2014, replacing the previous research assessment exercise (RAE). It is undertaken by the four UK higher education funding bodies </w:t>
      </w:r>
      <w:r w:rsidR="00B41645">
        <w:t xml:space="preserve">for England, Scotland, Wales and Northern Ireland </w:t>
      </w:r>
      <w:r w:rsidRPr="008C551C">
        <w:t>with the purpose of: providing accountability for public investment in research along with producing evidence of the benefits of such investment, providing benchmark information and establishing a reputational yardstick and informing the selective allocation of public funding for research</w:t>
      </w:r>
      <w:r w:rsidR="00172E17">
        <w:t>.</w:t>
      </w:r>
    </w:p>
  </w:footnote>
  <w:footnote w:id="38">
    <w:p w:rsidR="008C551C" w:rsidRDefault="008C551C" w:rsidP="00F522AF">
      <w:pPr>
        <w:pStyle w:val="Footnotes"/>
        <w:spacing w:line="240" w:lineRule="auto"/>
      </w:pPr>
      <w:r>
        <w:rPr>
          <w:rStyle w:val="FootnoteReference"/>
        </w:rPr>
        <w:footnoteRef/>
      </w:r>
      <w:r>
        <w:t xml:space="preserve"> </w:t>
      </w:r>
      <w:r w:rsidRPr="00495B8F">
        <w:rPr>
          <w:rFonts w:hint="cs"/>
        </w:rPr>
        <w:t xml:space="preserve">Placing it </w:t>
      </w:r>
      <w:r w:rsidRPr="00495B8F">
        <w:t>with</w:t>
      </w:r>
      <w:r w:rsidRPr="00495B8F">
        <w:rPr>
          <w:rFonts w:hint="cs"/>
        </w:rPr>
        <w:t>in the top 20 of UK Law Schools for grant capture</w:t>
      </w:r>
      <w:r w:rsidR="00172E17">
        <w:t>.</w:t>
      </w:r>
    </w:p>
  </w:footnote>
  <w:footnote w:id="39">
    <w:p w:rsidR="008C551C" w:rsidRDefault="008C551C" w:rsidP="00F522AF">
      <w:pPr>
        <w:pStyle w:val="Footnotes"/>
        <w:spacing w:line="240" w:lineRule="auto"/>
      </w:pPr>
      <w:r>
        <w:rPr>
          <w:rStyle w:val="FootnoteReference"/>
        </w:rPr>
        <w:footnoteRef/>
      </w:r>
      <w:r>
        <w:t xml:space="preserve"> </w:t>
      </w:r>
      <w:r w:rsidRPr="008C551C">
        <w:t xml:space="preserve">Welsh Affairs Commons Select Committee, Written evidence submitted by </w:t>
      </w:r>
      <w:r w:rsidRPr="00F522AF">
        <w:t>Swansea</w:t>
      </w:r>
      <w:r w:rsidRPr="008C551C">
        <w:t xml:space="preserve"> University</w:t>
      </w:r>
      <w:r w:rsidR="00172E17">
        <w:t>, 1.2</w:t>
      </w:r>
      <w:r w:rsidRPr="008C551C">
        <w:t xml:space="preserve"> (HC 854)</w:t>
      </w:r>
      <w:r w:rsidR="00172E17">
        <w:t>.</w:t>
      </w:r>
    </w:p>
  </w:footnote>
  <w:footnote w:id="40">
    <w:p w:rsidR="008C551C" w:rsidRDefault="008C551C" w:rsidP="00F522AF">
      <w:pPr>
        <w:pStyle w:val="Footnotes"/>
        <w:spacing w:line="240" w:lineRule="auto"/>
      </w:pPr>
      <w:r>
        <w:rPr>
          <w:rStyle w:val="FootnoteReference"/>
        </w:rPr>
        <w:footnoteRef/>
      </w:r>
      <w:r>
        <w:t xml:space="preserve"> </w:t>
      </w:r>
      <w:r w:rsidRPr="00495B8F">
        <w:t>Professor Iwan Davies, appointed as Vice Chancellor, Bangor University 2019 (see I</w:t>
      </w:r>
      <w:r w:rsidR="00B41645">
        <w:t>.</w:t>
      </w:r>
      <w:r w:rsidRPr="00495B8F">
        <w:t xml:space="preserve"> R</w:t>
      </w:r>
      <w:r w:rsidR="00B41645">
        <w:t>.</w:t>
      </w:r>
      <w:r w:rsidRPr="00495B8F">
        <w:t xml:space="preserve"> Davies, </w:t>
      </w:r>
      <w:r w:rsidRPr="00172E17">
        <w:rPr>
          <w:u w:val="single"/>
        </w:rPr>
        <w:t>Secured Financing of Intellectual Property Assets and the Reform of English Personal Property Security Law</w:t>
      </w:r>
      <w:r w:rsidR="00172E17">
        <w:t xml:space="preserve">, </w:t>
      </w:r>
      <w:r w:rsidR="005A77BC">
        <w:t xml:space="preserve">26 Oxford Journal of Legal Studies </w:t>
      </w:r>
      <w:r w:rsidR="00172E17">
        <w:t>559</w:t>
      </w:r>
      <w:r w:rsidRPr="00495B8F">
        <w:t xml:space="preserve"> (2006)</w:t>
      </w:r>
      <w:r w:rsidR="00172E17">
        <w:t>.</w:t>
      </w:r>
    </w:p>
  </w:footnote>
  <w:footnote w:id="41">
    <w:p w:rsidR="008C551C" w:rsidRDefault="008C551C" w:rsidP="00F522AF">
      <w:pPr>
        <w:pStyle w:val="Footnotes"/>
        <w:spacing w:line="240" w:lineRule="auto"/>
      </w:pPr>
      <w:r>
        <w:rPr>
          <w:rStyle w:val="FootnoteReference"/>
        </w:rPr>
        <w:footnoteRef/>
      </w:r>
      <w:r>
        <w:t xml:space="preserve"> </w:t>
      </w:r>
      <w:r w:rsidRPr="00495B8F">
        <w:t xml:space="preserve">Jane Foulser-Mcfarlane, </w:t>
      </w:r>
      <w:r w:rsidRPr="00172E17">
        <w:rPr>
          <w:u w:val="single"/>
        </w:rPr>
        <w:t>Report prepared for the Welsh Assembly Government on IP Crime and eCrime</w:t>
      </w:r>
      <w:r w:rsidRPr="00495B8F">
        <w:t xml:space="preserve">, </w:t>
      </w:r>
      <w:r w:rsidR="00172E17">
        <w:t>(2009).</w:t>
      </w:r>
    </w:p>
  </w:footnote>
  <w:footnote w:id="42">
    <w:p w:rsidR="008C551C" w:rsidRDefault="008C551C" w:rsidP="00F522AF">
      <w:pPr>
        <w:pStyle w:val="Footnotes"/>
        <w:spacing w:line="240" w:lineRule="auto"/>
      </w:pPr>
      <w:r>
        <w:rPr>
          <w:rStyle w:val="FootnoteReference"/>
        </w:rPr>
        <w:footnoteRef/>
      </w:r>
      <w:r>
        <w:t xml:space="preserve"> </w:t>
      </w:r>
      <w:r w:rsidRPr="00495B8F">
        <w:rPr>
          <w:rFonts w:hint="cs"/>
        </w:rPr>
        <w:t xml:space="preserve">Clarke </w:t>
      </w:r>
      <w:r w:rsidR="00172E17">
        <w:t>&amp;</w:t>
      </w:r>
      <w:r w:rsidRPr="00495B8F">
        <w:rPr>
          <w:rFonts w:hint="cs"/>
        </w:rPr>
        <w:t xml:space="preserve"> Hartland, now CJCH Solicitors</w:t>
      </w:r>
      <w:r w:rsidR="00172E17">
        <w:t>.</w:t>
      </w:r>
    </w:p>
  </w:footnote>
  <w:footnote w:id="43">
    <w:p w:rsidR="008C551C" w:rsidRDefault="008C551C" w:rsidP="00F522AF">
      <w:pPr>
        <w:pStyle w:val="Footnotes"/>
        <w:spacing w:line="240" w:lineRule="auto"/>
      </w:pPr>
      <w:r>
        <w:rPr>
          <w:rStyle w:val="FootnoteReference"/>
        </w:rPr>
        <w:footnoteRef/>
      </w:r>
      <w:r>
        <w:t xml:space="preserve"> </w:t>
      </w:r>
      <w:r w:rsidR="004A6503">
        <w:t xml:space="preserve">See </w:t>
      </w:r>
      <w:r w:rsidR="00172E17" w:rsidRPr="00F522AF">
        <w:t>Beale</w:t>
      </w:r>
      <w:r w:rsidR="00172E17">
        <w:t xml:space="preserve">, </w:t>
      </w:r>
      <w:r w:rsidR="00172E17" w:rsidRPr="00172E17">
        <w:rPr>
          <w:u w:val="single"/>
        </w:rPr>
        <w:t>supra</w:t>
      </w:r>
      <w:r w:rsidR="00172E17" w:rsidRPr="00172E17">
        <w:t xml:space="preserve">, </w:t>
      </w:r>
      <w:r w:rsidR="00622942">
        <w:t xml:space="preserve">(2008). </w:t>
      </w:r>
    </w:p>
  </w:footnote>
  <w:footnote w:id="44">
    <w:p w:rsidR="008C551C" w:rsidRDefault="008C551C" w:rsidP="00F522AF">
      <w:pPr>
        <w:pStyle w:val="Footnotes"/>
        <w:spacing w:line="240" w:lineRule="auto"/>
      </w:pPr>
      <w:r>
        <w:rPr>
          <w:rStyle w:val="FootnoteReference"/>
        </w:rPr>
        <w:footnoteRef/>
      </w:r>
      <w:r>
        <w:t xml:space="preserve"> </w:t>
      </w:r>
      <w:r w:rsidR="00622942" w:rsidRPr="00495B8F">
        <w:t>Foulser-Mcfarlane</w:t>
      </w:r>
      <w:r w:rsidR="00622942">
        <w:t xml:space="preserve">, </w:t>
      </w:r>
      <w:r w:rsidR="00622942" w:rsidRPr="00622942">
        <w:rPr>
          <w:u w:val="single"/>
        </w:rPr>
        <w:t>supra</w:t>
      </w:r>
      <w:r w:rsidR="00622942">
        <w:t xml:space="preserve">, </w:t>
      </w:r>
      <w:r w:rsidRPr="00495B8F">
        <w:t>3</w:t>
      </w:r>
      <w:r w:rsidR="00622942">
        <w:t>.</w:t>
      </w:r>
    </w:p>
  </w:footnote>
  <w:footnote w:id="45">
    <w:p w:rsidR="000D611E" w:rsidRDefault="000D611E" w:rsidP="00F522AF">
      <w:pPr>
        <w:pStyle w:val="Footnotes"/>
        <w:spacing w:line="240" w:lineRule="auto"/>
      </w:pPr>
      <w:r>
        <w:rPr>
          <w:rStyle w:val="FootnoteReference"/>
        </w:rPr>
        <w:footnoteRef/>
      </w:r>
      <w:r>
        <w:t xml:space="preserve"> </w:t>
      </w:r>
      <w:r w:rsidRPr="000D611E">
        <w:t xml:space="preserve">Jane Foulser-Mcfarlane, </w:t>
      </w:r>
      <w:r w:rsidRPr="00622942">
        <w:rPr>
          <w:u w:val="single"/>
        </w:rPr>
        <w:t>Intellectual Property Rights: Infringement and Enforcement Issues in IP Wales funded businesses</w:t>
      </w:r>
      <w:r w:rsidRPr="000D611E">
        <w:t xml:space="preserve">, </w:t>
      </w:r>
      <w:r w:rsidR="006C4C8A">
        <w:t>C</w:t>
      </w:r>
      <w:r w:rsidR="00622942">
        <w:t>onclusion (</w:t>
      </w:r>
      <w:r w:rsidRPr="000D611E">
        <w:t>2011</w:t>
      </w:r>
      <w:r w:rsidR="00622942">
        <w:t>).</w:t>
      </w:r>
      <w:r w:rsidRPr="000D611E">
        <w:t xml:space="preserve"> </w:t>
      </w:r>
    </w:p>
  </w:footnote>
  <w:footnote w:id="46">
    <w:p w:rsidR="000D611E" w:rsidRDefault="000D611E" w:rsidP="00F522AF">
      <w:pPr>
        <w:pStyle w:val="Footnotes"/>
        <w:spacing w:line="240" w:lineRule="auto"/>
      </w:pPr>
      <w:r>
        <w:rPr>
          <w:rStyle w:val="FootnoteReference"/>
        </w:rPr>
        <w:footnoteRef/>
      </w:r>
      <w:r>
        <w:t xml:space="preserve"> </w:t>
      </w:r>
      <w:r w:rsidRPr="00495B8F">
        <w:t xml:space="preserve">IP active solicitors and patent attorneys (see </w:t>
      </w:r>
      <w:r w:rsidR="00622942">
        <w:t xml:space="preserve">Volume 47, </w:t>
      </w:r>
      <w:r w:rsidR="00622942" w:rsidRPr="00495B8F">
        <w:t xml:space="preserve">Chartered Institute of Patent Attorneys Journal, </w:t>
      </w:r>
      <w:r w:rsidRPr="00622942">
        <w:rPr>
          <w:u w:val="single"/>
        </w:rPr>
        <w:t>Cybercrime: Welsh Initiative should be a wake-up call across the UK</w:t>
      </w:r>
      <w:r w:rsidRPr="00495B8F">
        <w:t xml:space="preserve"> </w:t>
      </w:r>
      <w:r w:rsidR="00622942">
        <w:t>14 (</w:t>
      </w:r>
      <w:r w:rsidRPr="00495B8F">
        <w:t>2018</w:t>
      </w:r>
      <w:r w:rsidR="00622942">
        <w:t>)).</w:t>
      </w:r>
      <w:r w:rsidRPr="00495B8F">
        <w:t xml:space="preserve"> </w:t>
      </w:r>
    </w:p>
  </w:footnote>
  <w:footnote w:id="47">
    <w:p w:rsidR="000D611E" w:rsidRDefault="000D611E" w:rsidP="00F522AF">
      <w:pPr>
        <w:pStyle w:val="Footnotes"/>
        <w:spacing w:line="240" w:lineRule="auto"/>
      </w:pPr>
      <w:r>
        <w:rPr>
          <w:rStyle w:val="FootnoteReference"/>
        </w:rPr>
        <w:footnoteRef/>
      </w:r>
      <w:r>
        <w:t xml:space="preserve"> </w:t>
      </w:r>
      <w:r w:rsidRPr="00F522AF">
        <w:t>Andrew</w:t>
      </w:r>
      <w:r w:rsidRPr="000D611E">
        <w:t xml:space="preserve"> </w:t>
      </w:r>
      <w:r w:rsidRPr="00F522AF">
        <w:t>Beale</w:t>
      </w:r>
      <w:r w:rsidR="00622942">
        <w:t xml:space="preserve"> </w:t>
      </w:r>
      <w:r w:rsidR="005A77BC">
        <w:t>et al.</w:t>
      </w:r>
      <w:r w:rsidRPr="000D611E">
        <w:t xml:space="preserve">, </w:t>
      </w:r>
      <w:r w:rsidRPr="00622942">
        <w:rPr>
          <w:u w:val="single"/>
        </w:rPr>
        <w:t>The Protection of Data in our Digital Age</w:t>
      </w:r>
      <w:r w:rsidR="00622942">
        <w:t xml:space="preserve">, 6 </w:t>
      </w:r>
      <w:r w:rsidRPr="000D611E">
        <w:t>Journal of Business L</w:t>
      </w:r>
      <w:r w:rsidR="00622942">
        <w:t xml:space="preserve">aw, </w:t>
      </w:r>
      <w:r w:rsidRPr="000D611E">
        <w:t>461</w:t>
      </w:r>
      <w:r w:rsidR="00622942">
        <w:t xml:space="preserve"> (2017).</w:t>
      </w:r>
    </w:p>
  </w:footnote>
  <w:footnote w:id="48">
    <w:p w:rsidR="000D611E" w:rsidRDefault="000D611E" w:rsidP="00F522AF">
      <w:pPr>
        <w:pStyle w:val="Footnotes"/>
        <w:spacing w:line="240" w:lineRule="auto"/>
      </w:pPr>
      <w:r>
        <w:rPr>
          <w:rStyle w:val="FootnoteReference"/>
        </w:rPr>
        <w:footnoteRef/>
      </w:r>
      <w:r>
        <w:t xml:space="preserve"> </w:t>
      </w:r>
      <w:r w:rsidRPr="00495B8F">
        <w:rPr>
          <w:rFonts w:hint="cs"/>
        </w:rPr>
        <w:t>SI 2018/597</w:t>
      </w:r>
      <w:r w:rsidR="00622942">
        <w:t>.</w:t>
      </w:r>
    </w:p>
  </w:footnote>
  <w:footnote w:id="49">
    <w:p w:rsidR="000D611E" w:rsidRDefault="000D611E" w:rsidP="00F522AF">
      <w:pPr>
        <w:pStyle w:val="Footnotes"/>
        <w:spacing w:line="240" w:lineRule="auto"/>
      </w:pPr>
      <w:r>
        <w:rPr>
          <w:rStyle w:val="FootnoteReference"/>
        </w:rPr>
        <w:footnoteRef/>
      </w:r>
      <w:r>
        <w:t xml:space="preserve"> </w:t>
      </w:r>
      <w:r w:rsidRPr="00495B8F">
        <w:t xml:space="preserve">Report prepared for the EU Commission contract number MARKT/2011/128D, </w:t>
      </w:r>
      <w:r w:rsidRPr="005A77BC">
        <w:rPr>
          <w:u w:val="single"/>
        </w:rPr>
        <w:t>Study on Trade Secrets and Confidential Business Information in the Internal Market</w:t>
      </w:r>
      <w:r w:rsidRPr="00495B8F">
        <w:t xml:space="preserve"> </w:t>
      </w:r>
      <w:r w:rsidR="005A77BC">
        <w:t>12 (2013).</w:t>
      </w:r>
    </w:p>
  </w:footnote>
  <w:footnote w:id="50">
    <w:p w:rsidR="000D611E" w:rsidRDefault="000D611E" w:rsidP="00F522AF">
      <w:pPr>
        <w:pStyle w:val="Footnotes"/>
        <w:spacing w:line="240" w:lineRule="auto"/>
      </w:pPr>
      <w:r>
        <w:rPr>
          <w:rStyle w:val="FootnoteReference"/>
        </w:rPr>
        <w:footnoteRef/>
      </w:r>
      <w:r>
        <w:t xml:space="preserve"> </w:t>
      </w:r>
      <w:r w:rsidRPr="000D611E">
        <w:t>Id.</w:t>
      </w:r>
      <w:r w:rsidR="005A77BC">
        <w:t>,</w:t>
      </w:r>
      <w:r w:rsidRPr="000D611E">
        <w:t xml:space="preserve"> at 107 (see Almeling et al. (2010) and (2011)</w:t>
      </w:r>
      <w:r w:rsidR="005A77BC">
        <w:t>.</w:t>
      </w:r>
    </w:p>
  </w:footnote>
  <w:footnote w:id="51">
    <w:p w:rsidR="000D611E" w:rsidRDefault="000D611E" w:rsidP="00F522AF">
      <w:pPr>
        <w:pStyle w:val="Footnotes"/>
        <w:spacing w:line="240" w:lineRule="auto"/>
      </w:pPr>
      <w:r>
        <w:rPr>
          <w:rStyle w:val="FootnoteReference"/>
        </w:rPr>
        <w:footnoteRef/>
      </w:r>
      <w:r>
        <w:t xml:space="preserve"> </w:t>
      </w:r>
      <w:r w:rsidR="001F2BBF">
        <w:t xml:space="preserve">Merchant Savvy, </w:t>
      </w:r>
      <w:r w:rsidR="001F2BBF" w:rsidRPr="001F2BBF">
        <w:rPr>
          <w:u w:val="single"/>
        </w:rPr>
        <w:t>supra</w:t>
      </w:r>
      <w:r w:rsidR="001F2BBF">
        <w:t xml:space="preserve">, (2019) </w:t>
      </w:r>
      <w:r w:rsidRPr="00495B8F">
        <w:t>– of the 5.7 million businesses in the UK at the start of 2018, 99</w:t>
      </w:r>
      <w:r>
        <w:t xml:space="preserve"> percent </w:t>
      </w:r>
      <w:r w:rsidRPr="00495B8F">
        <w:t>are SMEs and 96</w:t>
      </w:r>
      <w:r>
        <w:t xml:space="preserve"> percent</w:t>
      </w:r>
      <w:r w:rsidRPr="00495B8F">
        <w:t xml:space="preserve"> employ fewer than ten people</w:t>
      </w:r>
      <w:r w:rsidR="001F2BBF">
        <w:t>.</w:t>
      </w:r>
    </w:p>
  </w:footnote>
  <w:footnote w:id="52">
    <w:p w:rsidR="000D611E" w:rsidRDefault="000D611E" w:rsidP="00F522AF">
      <w:pPr>
        <w:pStyle w:val="Footnotes"/>
        <w:spacing w:line="240" w:lineRule="auto"/>
      </w:pPr>
      <w:r>
        <w:rPr>
          <w:rStyle w:val="FootnoteReference"/>
        </w:rPr>
        <w:footnoteRef/>
      </w:r>
      <w:r>
        <w:t xml:space="preserve"> </w:t>
      </w:r>
      <w:r w:rsidRPr="00495B8F">
        <w:t>Dr. Guriqbal Singh Jaiya, Director SME Division WIPO during the two years secondment period 2007-8</w:t>
      </w:r>
      <w:r w:rsidR="001F2BBF">
        <w:t>.</w:t>
      </w:r>
    </w:p>
  </w:footnote>
  <w:footnote w:id="53">
    <w:p w:rsidR="000D611E" w:rsidRDefault="000D611E" w:rsidP="00F522AF">
      <w:pPr>
        <w:pStyle w:val="Footnotes"/>
        <w:spacing w:line="240" w:lineRule="auto"/>
      </w:pPr>
      <w:r>
        <w:rPr>
          <w:rStyle w:val="FootnoteReference"/>
        </w:rPr>
        <w:footnoteRef/>
      </w:r>
      <w:r>
        <w:t xml:space="preserve"> </w:t>
      </w:r>
      <w:r w:rsidRPr="00495B8F">
        <w:t xml:space="preserve">Public Accounts Committee of the House of Commons, </w:t>
      </w:r>
      <w:r w:rsidRPr="001F2BBF">
        <w:rPr>
          <w:u w:val="single"/>
        </w:rPr>
        <w:t>Cybersecurity in the UK</w:t>
      </w:r>
      <w:r w:rsidRPr="00495B8F">
        <w:t xml:space="preserve"> (Oral evidence of Witnesses: Sir Mark Sedwill, Cabinet Secretary and Head of the UK Civil Service, and UK National Security Advisor, Madeleine Alessandri, Deputy National Security Advisor, Cabinet Office, and Ciaran Martin, Chief Executive, National Cyber Security Centre) HC 1745, at Q.123</w:t>
      </w:r>
      <w:r w:rsidR="001F2BBF">
        <w:t>.</w:t>
      </w:r>
    </w:p>
  </w:footnote>
  <w:footnote w:id="54">
    <w:p w:rsidR="000D611E" w:rsidRDefault="000D611E" w:rsidP="00F522AF">
      <w:pPr>
        <w:pStyle w:val="Footnotes"/>
        <w:spacing w:line="240" w:lineRule="auto"/>
      </w:pPr>
      <w:r>
        <w:rPr>
          <w:rStyle w:val="FootnoteReference"/>
        </w:rPr>
        <w:footnoteRef/>
      </w:r>
      <w:r>
        <w:t xml:space="preserve"> </w:t>
      </w:r>
      <w:r w:rsidRPr="00495B8F">
        <w:t>See www.ipcybersecurity.co.uk</w:t>
      </w:r>
      <w:r w:rsidR="001F2BBF">
        <w:t>.</w:t>
      </w:r>
    </w:p>
  </w:footnote>
  <w:footnote w:id="55">
    <w:p w:rsidR="000D611E" w:rsidRDefault="000D611E" w:rsidP="00F522AF">
      <w:pPr>
        <w:pStyle w:val="Footnotes"/>
        <w:spacing w:line="240" w:lineRule="auto"/>
      </w:pPr>
      <w:r>
        <w:rPr>
          <w:rStyle w:val="FootnoteReference"/>
        </w:rPr>
        <w:footnoteRef/>
      </w:r>
      <w:r>
        <w:t xml:space="preserve"> </w:t>
      </w:r>
      <w:r w:rsidR="00A236B0" w:rsidRPr="00495B8F">
        <w:t>Public Accounts Committee of the House of Commons</w:t>
      </w:r>
      <w:r w:rsidR="00A236B0">
        <w:t xml:space="preserve">, </w:t>
      </w:r>
      <w:r w:rsidR="00A236B0" w:rsidRPr="00A236B0">
        <w:rPr>
          <w:u w:val="single"/>
        </w:rPr>
        <w:t>supra</w:t>
      </w:r>
      <w:r w:rsidR="00A236B0">
        <w:t>,</w:t>
      </w:r>
      <w:r w:rsidR="00A236B0" w:rsidRPr="00495B8F">
        <w:t xml:space="preserve"> </w:t>
      </w:r>
      <w:r w:rsidRPr="00495B8F">
        <w:t>Q.99</w:t>
      </w:r>
      <w:r w:rsidR="00A236B0">
        <w:t>.</w:t>
      </w:r>
    </w:p>
  </w:footnote>
  <w:footnote w:id="56">
    <w:p w:rsidR="000D611E" w:rsidRDefault="000D611E" w:rsidP="00F522AF">
      <w:pPr>
        <w:pStyle w:val="Footnotes"/>
        <w:spacing w:line="240" w:lineRule="auto"/>
      </w:pPr>
      <w:r>
        <w:rPr>
          <w:rStyle w:val="FootnoteReference"/>
        </w:rPr>
        <w:footnoteRef/>
      </w:r>
      <w:r>
        <w:t xml:space="preserve"> </w:t>
      </w:r>
      <w:r w:rsidRPr="00495B8F">
        <w:t>Explanatory Memorandum to the Trade Secrets (Enforcement etc.) Regulations 2018 No.597 at section 7.1</w:t>
      </w:r>
      <w:r w:rsidR="00A236B0">
        <w:t>.</w:t>
      </w:r>
    </w:p>
  </w:footnote>
  <w:footnote w:id="57">
    <w:p w:rsidR="00C73B66" w:rsidRDefault="00C73B66" w:rsidP="00F522AF">
      <w:pPr>
        <w:pStyle w:val="Footnotes"/>
        <w:spacing w:line="240" w:lineRule="auto"/>
      </w:pPr>
      <w:r>
        <w:rPr>
          <w:rStyle w:val="FootnoteReference"/>
        </w:rPr>
        <w:footnoteRef/>
      </w:r>
      <w:r>
        <w:t xml:space="preserve"> </w:t>
      </w:r>
      <w:r w:rsidRPr="00C73B66">
        <w:t>Id.</w:t>
      </w:r>
      <w:r w:rsidR="00A236B0">
        <w:t>,</w:t>
      </w:r>
      <w:r w:rsidRPr="00C73B66">
        <w:t xml:space="preserve"> at 11.2</w:t>
      </w:r>
      <w:r w:rsidR="006C4C8A">
        <w:t>.</w:t>
      </w:r>
    </w:p>
  </w:footnote>
  <w:footnote w:id="58">
    <w:p w:rsidR="00C73B66" w:rsidRDefault="00C73B66" w:rsidP="00F522AF">
      <w:pPr>
        <w:pStyle w:val="Footnotes"/>
        <w:spacing w:line="240" w:lineRule="auto"/>
      </w:pPr>
      <w:r>
        <w:rPr>
          <w:rStyle w:val="FootnoteReference"/>
        </w:rPr>
        <w:footnoteRef/>
      </w:r>
      <w:r>
        <w:t xml:space="preserve"> </w:t>
      </w:r>
      <w:r w:rsidRPr="00C73B66">
        <w:t xml:space="preserve">UK Intellectual Property Office, </w:t>
      </w:r>
      <w:r w:rsidRPr="00A236B0">
        <w:rPr>
          <w:u w:val="single"/>
        </w:rPr>
        <w:t>Consultation on draft regulations concerning trade secrets</w:t>
      </w:r>
      <w:r w:rsidRPr="00C73B66">
        <w:t>, 10</w:t>
      </w:r>
      <w:r w:rsidR="00A236B0">
        <w:t xml:space="preserve"> (2018).</w:t>
      </w:r>
    </w:p>
  </w:footnote>
  <w:footnote w:id="59">
    <w:p w:rsidR="00C73B66" w:rsidRDefault="00C73B66" w:rsidP="00F522AF">
      <w:pPr>
        <w:pStyle w:val="Footnotes"/>
        <w:spacing w:line="240" w:lineRule="auto"/>
      </w:pPr>
      <w:r>
        <w:rPr>
          <w:rStyle w:val="FootnoteReference"/>
        </w:rPr>
        <w:footnoteRef/>
      </w:r>
      <w:r>
        <w:t xml:space="preserve"> </w:t>
      </w:r>
      <w:r w:rsidRPr="00C73B66">
        <w:t>Tanya Aplin</w:t>
      </w:r>
      <w:r w:rsidR="00A236B0">
        <w:t xml:space="preserve"> et al.</w:t>
      </w:r>
      <w:r w:rsidRPr="00C73B66">
        <w:t xml:space="preserve">, </w:t>
      </w:r>
      <w:r w:rsidRPr="00A236B0">
        <w:rPr>
          <w:u w:val="single"/>
        </w:rPr>
        <w:t>Gurry on Breach of Confidence</w:t>
      </w:r>
      <w:r w:rsidRPr="00C73B66">
        <w:t xml:space="preserve"> </w:t>
      </w:r>
      <w:r w:rsidR="00A236B0">
        <w:t xml:space="preserve">6.06 </w:t>
      </w:r>
      <w:r w:rsidRPr="00C73B66">
        <w:t>(2nd ed. 2012)</w:t>
      </w:r>
      <w:r w:rsidR="00A236B0">
        <w:t>.</w:t>
      </w:r>
    </w:p>
  </w:footnote>
  <w:footnote w:id="60">
    <w:p w:rsidR="00C73B66" w:rsidRDefault="00C73B66" w:rsidP="00F522AF">
      <w:pPr>
        <w:pStyle w:val="Footnotes"/>
        <w:spacing w:line="240" w:lineRule="auto"/>
      </w:pPr>
      <w:r>
        <w:rPr>
          <w:rStyle w:val="FootnoteReference"/>
        </w:rPr>
        <w:footnoteRef/>
      </w:r>
      <w:r>
        <w:t xml:space="preserve"> </w:t>
      </w:r>
      <w:r w:rsidRPr="00495B8F">
        <w:t>Section 3 of the Trade Secrets (Enforcement, etc.) Regulations 2018 provides for “wider protection” under the common law for breach of confidence in confidential information</w:t>
      </w:r>
      <w:r w:rsidR="00A236B0">
        <w:t>.</w:t>
      </w:r>
    </w:p>
  </w:footnote>
  <w:footnote w:id="61">
    <w:p w:rsidR="00C73B66" w:rsidRDefault="00C73B66" w:rsidP="00F522AF">
      <w:pPr>
        <w:pStyle w:val="Footnotes"/>
        <w:spacing w:line="240" w:lineRule="auto"/>
      </w:pPr>
      <w:r>
        <w:rPr>
          <w:rStyle w:val="FootnoteReference"/>
        </w:rPr>
        <w:footnoteRef/>
      </w:r>
      <w:r>
        <w:t xml:space="preserve"> </w:t>
      </w:r>
      <w:r w:rsidRPr="00C73B66">
        <w:t>Article 2 Definitions</w:t>
      </w:r>
      <w:r w:rsidR="00A236B0">
        <w:t>: “For the purposes of this Directive the following definitions apply: (1) ‘trade secret’</w:t>
      </w:r>
      <w:r w:rsidR="003D59F3">
        <w:t xml:space="preserve"> means information which meets all of the following requirements: a) it is secret in the sense that it is not, as a body or in the precise configuration and assembly of its components, generally known among or readily accessible to persons within the circles that normally deal with the kind of information in question; (b) it has commercial value because it is secret; (c) it has been subject to </w:t>
      </w:r>
      <w:r w:rsidR="003D59F3" w:rsidRPr="003D59F3">
        <w:rPr>
          <w:b/>
          <w:bCs/>
        </w:rPr>
        <w:t>reasonable steps under the circumstances</w:t>
      </w:r>
      <w:r w:rsidR="003D59F3">
        <w:t>, by the person lawfully in control of the information, to keep it secret; (</w:t>
      </w:r>
      <w:r w:rsidR="003D59F3">
        <w:rPr>
          <w:i/>
          <w:iCs/>
        </w:rPr>
        <w:t>emphasis added</w:t>
      </w:r>
      <w:r w:rsidR="003D59F3">
        <w:t>).</w:t>
      </w:r>
    </w:p>
  </w:footnote>
  <w:footnote w:id="62">
    <w:p w:rsidR="00933C06" w:rsidRDefault="00933C06" w:rsidP="00F522AF">
      <w:pPr>
        <w:pStyle w:val="Footnotes"/>
        <w:spacing w:line="240" w:lineRule="auto"/>
      </w:pPr>
      <w:r>
        <w:rPr>
          <w:rStyle w:val="FootnoteReference"/>
        </w:rPr>
        <w:footnoteRef/>
      </w:r>
      <w:r>
        <w:t xml:space="preserve"> </w:t>
      </w:r>
      <w:r w:rsidRPr="00C73B66">
        <w:t xml:space="preserve">Article 39.2 of the Agreement on Trade-Related Aspects of Intellectual Property Rights is based upon the provisions of the U.S. Uniform Trade Secrets Act of 1985. </w:t>
      </w:r>
    </w:p>
  </w:footnote>
  <w:footnote w:id="63">
    <w:p w:rsidR="0026160C" w:rsidRDefault="0026160C" w:rsidP="00F522AF">
      <w:pPr>
        <w:pStyle w:val="Footnotes"/>
        <w:spacing w:line="240" w:lineRule="auto"/>
      </w:pPr>
      <w:r>
        <w:rPr>
          <w:rStyle w:val="FootnoteReference"/>
        </w:rPr>
        <w:footnoteRef/>
      </w:r>
      <w:r>
        <w:t xml:space="preserve"> </w:t>
      </w:r>
      <w:r w:rsidR="00F64179">
        <w:t xml:space="preserve">Center for Responsible Enterprise and Trade, </w:t>
      </w:r>
      <w:r w:rsidRPr="00F64179">
        <w:rPr>
          <w:u w:val="single"/>
        </w:rPr>
        <w:t>The Importance of Cybersecurity for Trade Secret Protection: Developments in trade secrets cases and the growing role of the NIST Framework</w:t>
      </w:r>
      <w:r w:rsidRPr="00C73B66">
        <w:t xml:space="preserve"> (</w:t>
      </w:r>
      <w:r w:rsidR="00F64179">
        <w:t>2016</w:t>
      </w:r>
      <w:r w:rsidRPr="00C73B66">
        <w:t>)</w:t>
      </w:r>
      <w:r w:rsidR="00F64179">
        <w:t>.</w:t>
      </w:r>
    </w:p>
  </w:footnote>
  <w:footnote w:id="64">
    <w:p w:rsidR="0026160C" w:rsidRDefault="0026160C" w:rsidP="00F522AF">
      <w:pPr>
        <w:pStyle w:val="Footnotes"/>
        <w:spacing w:line="240" w:lineRule="auto"/>
      </w:pPr>
      <w:r>
        <w:rPr>
          <w:rStyle w:val="FootnoteReference"/>
        </w:rPr>
        <w:footnoteRef/>
      </w:r>
      <w:r>
        <w:t xml:space="preserve"> </w:t>
      </w:r>
      <w:r w:rsidRPr="00C73B66">
        <w:t xml:space="preserve">Robert Hannigan, </w:t>
      </w:r>
      <w:r w:rsidR="00F64179" w:rsidRPr="00F64179">
        <w:rPr>
          <w:u w:val="single"/>
        </w:rPr>
        <w:t>UK</w:t>
      </w:r>
      <w:r w:rsidR="00F64179">
        <w:rPr>
          <w:u w:val="single"/>
        </w:rPr>
        <w:t xml:space="preserve"> </w:t>
      </w:r>
      <w:r w:rsidRPr="00F64179">
        <w:rPr>
          <w:u w:val="single"/>
        </w:rPr>
        <w:t>National Cyber Security Strategy 2016-2021</w:t>
      </w:r>
      <w:r w:rsidRPr="00C73B66">
        <w:t>, 28</w:t>
      </w:r>
      <w:r w:rsidR="004302FD">
        <w:t xml:space="preserve"> (2016).</w:t>
      </w:r>
    </w:p>
  </w:footnote>
  <w:footnote w:id="65">
    <w:p w:rsidR="0026160C" w:rsidRPr="0026160C" w:rsidRDefault="0026160C" w:rsidP="00F522AF">
      <w:pPr>
        <w:pStyle w:val="Footnotes"/>
        <w:spacing w:line="240" w:lineRule="auto"/>
      </w:pPr>
      <w:r>
        <w:rPr>
          <w:rStyle w:val="FootnoteReference"/>
        </w:rPr>
        <w:footnoteRef/>
      </w:r>
      <w:r>
        <w:t xml:space="preserve"> </w:t>
      </w:r>
      <w:r w:rsidRPr="0026160C">
        <w:t xml:space="preserve">A Ross, </w:t>
      </w:r>
      <w:r w:rsidRPr="004302FD">
        <w:rPr>
          <w:u w:val="single"/>
        </w:rPr>
        <w:t>Industries of the Future</w:t>
      </w:r>
      <w:r w:rsidR="004302FD">
        <w:t xml:space="preserve">, 150 </w:t>
      </w:r>
      <w:r w:rsidRPr="0026160C">
        <w:t>(2016)</w:t>
      </w:r>
      <w:r w:rsidR="004302FD">
        <w:t>.</w:t>
      </w:r>
    </w:p>
    <w:p w:rsidR="0026160C" w:rsidRDefault="0026160C" w:rsidP="00F522AF">
      <w:pPr>
        <w:pStyle w:val="FootnoteText"/>
        <w:spacing w:line="240" w:lineRule="auto"/>
      </w:pPr>
    </w:p>
  </w:footnote>
  <w:footnote w:id="66">
    <w:p w:rsidR="00C73B66" w:rsidRDefault="00C73B66" w:rsidP="00F522AF">
      <w:pPr>
        <w:pStyle w:val="Footnotes"/>
        <w:spacing w:line="240" w:lineRule="auto"/>
      </w:pPr>
      <w:r>
        <w:rPr>
          <w:rStyle w:val="FootnoteReference"/>
        </w:rPr>
        <w:footnoteRef/>
      </w:r>
      <w:r>
        <w:t xml:space="preserve"> </w:t>
      </w:r>
      <w:r w:rsidR="004302FD">
        <w:t xml:space="preserve">Blackburn, </w:t>
      </w:r>
      <w:r w:rsidR="004302FD" w:rsidRPr="004302FD">
        <w:rPr>
          <w:u w:val="single"/>
        </w:rPr>
        <w:t>supra</w:t>
      </w:r>
      <w:r w:rsidR="004302FD">
        <w:t xml:space="preserve">, 35. </w:t>
      </w:r>
    </w:p>
  </w:footnote>
  <w:footnote w:id="67">
    <w:p w:rsidR="00C73B66" w:rsidRDefault="00C73B66" w:rsidP="00F522AF">
      <w:pPr>
        <w:pStyle w:val="Footnotes"/>
        <w:spacing w:line="240" w:lineRule="auto"/>
      </w:pPr>
      <w:r>
        <w:rPr>
          <w:rStyle w:val="FootnoteReference"/>
        </w:rPr>
        <w:footnoteRef/>
      </w:r>
      <w:r>
        <w:t xml:space="preserve"> </w:t>
      </w:r>
      <w:r w:rsidRPr="00C73B66">
        <w:t xml:space="preserve">The </w:t>
      </w:r>
      <w:r w:rsidR="003213AA">
        <w:t xml:space="preserve">UK </w:t>
      </w:r>
      <w:r w:rsidRPr="00C73B66">
        <w:t>Complete University Guide 2019 ranks 1. London Business School 2. Cambridge Judge Business School 3. Said Business School 4. Alliance Manchester Business School 5. Cass Business School</w:t>
      </w:r>
      <w:r w:rsidR="004302FD">
        <w:t>.</w:t>
      </w:r>
    </w:p>
  </w:footnote>
  <w:footnote w:id="68">
    <w:p w:rsidR="00C73B66" w:rsidRDefault="00C73B66" w:rsidP="00F522AF">
      <w:pPr>
        <w:pStyle w:val="Footnotes"/>
        <w:spacing w:line="240" w:lineRule="auto"/>
      </w:pPr>
      <w:r>
        <w:rPr>
          <w:rStyle w:val="FootnoteReference"/>
        </w:rPr>
        <w:footnoteRef/>
      </w:r>
      <w:r>
        <w:t xml:space="preserve"> </w:t>
      </w:r>
      <w:r w:rsidRPr="0085115E">
        <w:t>(then) academic director of the National University of Singapore (NUS)/PKU International MBA program</w:t>
      </w:r>
      <w:r w:rsidR="004302FD">
        <w:t>.</w:t>
      </w:r>
    </w:p>
  </w:footnote>
  <w:footnote w:id="69">
    <w:p w:rsidR="009E5A49" w:rsidRPr="00CF0979" w:rsidRDefault="009E5A49" w:rsidP="00F522AF">
      <w:pPr>
        <w:pStyle w:val="Footnotes"/>
        <w:spacing w:line="240" w:lineRule="auto"/>
      </w:pPr>
      <w:r w:rsidRPr="00CF0979">
        <w:rPr>
          <w:rStyle w:val="FootnoteReference"/>
        </w:rPr>
        <w:footnoteRef/>
      </w:r>
      <w:r w:rsidRPr="00CF0979">
        <w:t xml:space="preserve"> Susanna Leong, </w:t>
      </w:r>
      <w:r w:rsidR="004302FD" w:rsidRPr="004302FD">
        <w:rPr>
          <w:u w:val="single"/>
        </w:rPr>
        <w:t xml:space="preserve">Teaching of Intellectual Property Principles and Methods: </w:t>
      </w:r>
      <w:r w:rsidRPr="004302FD">
        <w:rPr>
          <w:u w:val="single"/>
        </w:rPr>
        <w:t>Teaching IP in a Business School</w:t>
      </w:r>
      <w:r w:rsidR="004302FD">
        <w:t>,</w:t>
      </w:r>
      <w:r w:rsidRPr="00CF0979">
        <w:t xml:space="preserve"> </w:t>
      </w:r>
      <w:r w:rsidR="004302FD">
        <w:t>198 (</w:t>
      </w:r>
      <w:r w:rsidRPr="00CF0979">
        <w:t>Yo Takagi</w:t>
      </w:r>
      <w:r w:rsidR="004302FD">
        <w:t xml:space="preserve"> et al., </w:t>
      </w:r>
      <w:r w:rsidRPr="00CF0979">
        <w:t>2008)</w:t>
      </w:r>
      <w:r w:rsidR="004302FD">
        <w:t>.</w:t>
      </w:r>
    </w:p>
  </w:footnote>
  <w:footnote w:id="70">
    <w:p w:rsidR="00C73B66" w:rsidRDefault="00C73B66" w:rsidP="00F522AF">
      <w:pPr>
        <w:pStyle w:val="Footnotes"/>
        <w:spacing w:line="240" w:lineRule="auto"/>
      </w:pPr>
      <w:r>
        <w:rPr>
          <w:rStyle w:val="FootnoteReference"/>
        </w:rPr>
        <w:footnoteRef/>
      </w:r>
      <w:r>
        <w:t xml:space="preserve"> </w:t>
      </w:r>
      <w:r w:rsidRPr="00AB101A">
        <w:t>31</w:t>
      </w:r>
      <w:r>
        <w:rPr>
          <w:vertAlign w:val="superscript"/>
        </w:rPr>
        <w:t xml:space="preserve"> </w:t>
      </w:r>
      <w:r w:rsidRPr="00AB101A">
        <w:t>July 2020</w:t>
      </w:r>
      <w:r w:rsidR="004302FD">
        <w:t>.</w:t>
      </w:r>
    </w:p>
  </w:footnote>
  <w:footnote w:id="71">
    <w:p w:rsidR="008F11A9" w:rsidRDefault="008F11A9" w:rsidP="00F522AF">
      <w:pPr>
        <w:pStyle w:val="Footnotes"/>
        <w:spacing w:line="240" w:lineRule="auto"/>
      </w:pPr>
      <w:r>
        <w:rPr>
          <w:rStyle w:val="FootnoteReference"/>
        </w:rPr>
        <w:footnoteRef/>
      </w:r>
      <w:r>
        <w:t xml:space="preserve"> </w:t>
      </w:r>
      <w:r w:rsidR="003213AA">
        <w:t xml:space="preserve">Chesbrough, </w:t>
      </w:r>
      <w:r w:rsidR="003213AA" w:rsidRPr="003213AA">
        <w:rPr>
          <w:u w:val="single"/>
        </w:rPr>
        <w:t>supra</w:t>
      </w:r>
      <w:r w:rsidR="003213AA">
        <w:t>, -</w:t>
      </w:r>
      <w:r w:rsidRPr="008F11A9">
        <w:t xml:space="preserve"> the author makes over two hundred references to patent(s) during the course of his deliberations, as compared to a mere three references to trade secrets.</w:t>
      </w:r>
    </w:p>
  </w:footnote>
  <w:footnote w:id="72">
    <w:p w:rsidR="008F11A9" w:rsidRDefault="008F11A9" w:rsidP="00F522AF">
      <w:pPr>
        <w:pStyle w:val="Footnotes"/>
        <w:spacing w:line="240" w:lineRule="auto"/>
      </w:pPr>
      <w:r>
        <w:rPr>
          <w:rStyle w:val="FootnoteReference"/>
        </w:rPr>
        <w:footnoteRef/>
      </w:r>
      <w:r>
        <w:t xml:space="preserve"> </w:t>
      </w:r>
      <w:r w:rsidRPr="00495B8F">
        <w:t xml:space="preserve">Mike Palmedo, </w:t>
      </w:r>
      <w:r w:rsidRPr="003213AA">
        <w:rPr>
          <w:u w:val="single"/>
        </w:rPr>
        <w:t>APEC Ministers Endorse Best Practices in Trade Secret Protection and Enforcement Against Misappropriation</w:t>
      </w:r>
      <w:r w:rsidRPr="00495B8F">
        <w:t xml:space="preserve"> </w:t>
      </w:r>
      <w:r w:rsidR="00ED2B90">
        <w:t xml:space="preserve">, </w:t>
      </w:r>
      <w:r w:rsidRPr="00495B8F">
        <w:t xml:space="preserve">infojustice.org, </w:t>
      </w:r>
      <w:r w:rsidR="00ED2B90">
        <w:t xml:space="preserve">(Aug. 8, 2019, 12:30 PM), </w:t>
      </w:r>
      <w:hyperlink r:id="rId3" w:history="1">
        <w:r w:rsidRPr="00495B8F">
          <w:rPr>
            <w:rStyle w:val="Hyperlink"/>
            <w:color w:val="auto"/>
            <w:u w:val="none"/>
          </w:rPr>
          <w:t>http://infojustice.org/archives/37372</w:t>
        </w:r>
      </w:hyperlink>
      <w:r w:rsidR="00ED2B90">
        <w:t>.</w:t>
      </w:r>
    </w:p>
  </w:footnote>
  <w:footnote w:id="73">
    <w:p w:rsidR="008F11A9" w:rsidRDefault="008F11A9" w:rsidP="00F522AF">
      <w:pPr>
        <w:pStyle w:val="Footnotes"/>
        <w:spacing w:line="240" w:lineRule="auto"/>
      </w:pPr>
      <w:r>
        <w:rPr>
          <w:rStyle w:val="FootnoteReference"/>
        </w:rPr>
        <w:footnoteRef/>
      </w:r>
      <w:r>
        <w:t xml:space="preserve"> </w:t>
      </w:r>
      <w:r w:rsidRPr="00495B8F">
        <w:t xml:space="preserve">Hillary Rodham Clinton, </w:t>
      </w:r>
      <w:r w:rsidRPr="00ED2B90">
        <w:rPr>
          <w:u w:val="single"/>
        </w:rPr>
        <w:t>Delivering on the Promise of Economic Statecraft</w:t>
      </w:r>
      <w:r w:rsidR="00ED2B90">
        <w:t xml:space="preserve">, </w:t>
      </w:r>
      <w:r w:rsidRPr="00495B8F">
        <w:t>U.S. Department of State: Diplomacy in Action</w:t>
      </w:r>
      <w:r w:rsidR="00ED2B90">
        <w:t xml:space="preserve"> (Aug. 16, 2019, 3:30 PM), </w:t>
      </w:r>
      <w:hyperlink r:id="rId4" w:history="1">
        <w:r w:rsidRPr="00495B8F">
          <w:rPr>
            <w:rStyle w:val="Hyperlink"/>
            <w:color w:val="auto"/>
            <w:u w:val="none"/>
          </w:rPr>
          <w:t>https://2009-2017.state.gov/secretary/20092013clinton/rm/2012/11/200664.htm</w:t>
        </w:r>
      </w:hyperlink>
      <w:r w:rsidR="00ED2B90">
        <w:t>.</w:t>
      </w:r>
    </w:p>
  </w:footnote>
  <w:footnote w:id="74">
    <w:p w:rsidR="008F11A9" w:rsidRDefault="008F11A9" w:rsidP="00F522AF">
      <w:pPr>
        <w:pStyle w:val="Footnotes"/>
        <w:spacing w:line="240" w:lineRule="auto"/>
      </w:pPr>
      <w:r>
        <w:rPr>
          <w:rStyle w:val="FootnoteReference"/>
        </w:rPr>
        <w:footnoteRef/>
      </w:r>
      <w:r>
        <w:t xml:space="preserve"> </w:t>
      </w:r>
      <w:r w:rsidRPr="008F11A9">
        <w:t xml:space="preserve">Department of Justice, </w:t>
      </w:r>
      <w:r w:rsidRPr="00ED2B90">
        <w:rPr>
          <w:u w:val="single"/>
        </w:rPr>
        <w:t>Report to Congress Pursuant to the Defend Trade Secrets Act</w:t>
      </w:r>
      <w:r w:rsidR="00ED2B90" w:rsidRPr="00ED2B90">
        <w:t xml:space="preserve">, </w:t>
      </w:r>
      <w:r w:rsidR="00ED2B90">
        <w:t xml:space="preserve">2, 6, </w:t>
      </w:r>
      <w:r w:rsidRPr="008F11A9">
        <w:t>(2018)</w:t>
      </w:r>
      <w:r w:rsidR="00ED2B90">
        <w:t>.</w:t>
      </w:r>
    </w:p>
  </w:footnote>
  <w:footnote w:id="75">
    <w:p w:rsidR="008F11A9" w:rsidRDefault="008F11A9" w:rsidP="00F522AF">
      <w:pPr>
        <w:pStyle w:val="Footnotes"/>
        <w:spacing w:line="240" w:lineRule="auto"/>
      </w:pPr>
      <w:r>
        <w:rPr>
          <w:rStyle w:val="FootnoteReference"/>
        </w:rPr>
        <w:footnoteRef/>
      </w:r>
      <w:r>
        <w:t xml:space="preserve"> </w:t>
      </w:r>
      <w:r w:rsidRPr="00495B8F">
        <w:t>Id.</w:t>
      </w:r>
      <w:r w:rsidR="00ED2B90">
        <w:t>,</w:t>
      </w:r>
      <w:r w:rsidRPr="00495B8F">
        <w:t xml:space="preserve"> at 20</w:t>
      </w:r>
      <w:r w:rsidR="006C4C8A">
        <w:t>.</w:t>
      </w:r>
    </w:p>
  </w:footnote>
  <w:footnote w:id="76">
    <w:p w:rsidR="008F11A9" w:rsidRDefault="008F11A9" w:rsidP="00F522AF">
      <w:pPr>
        <w:pStyle w:val="Footnotes"/>
        <w:spacing w:line="240" w:lineRule="auto"/>
      </w:pPr>
      <w:r>
        <w:rPr>
          <w:rStyle w:val="FootnoteReference"/>
        </w:rPr>
        <w:footnoteRef/>
      </w:r>
      <w:r>
        <w:t xml:space="preserve"> </w:t>
      </w:r>
      <w:r w:rsidRPr="00495B8F">
        <w:t xml:space="preserve">Hosuk Lee-Makiyama, </w:t>
      </w:r>
      <w:r w:rsidRPr="00ED2B90">
        <w:rPr>
          <w:u w:val="single"/>
        </w:rPr>
        <w:t>Stealing Thunder</w:t>
      </w:r>
      <w:r w:rsidR="00ED2B90">
        <w:rPr>
          <w:u w:val="single"/>
        </w:rPr>
        <w:t>,</w:t>
      </w:r>
      <w:r w:rsidRPr="00495B8F">
        <w:t xml:space="preserve"> (2018)</w:t>
      </w:r>
      <w:r w:rsidR="00ED2B90">
        <w:t>,</w:t>
      </w:r>
      <w:r w:rsidRPr="00495B8F">
        <w:t xml:space="preserve"> </w:t>
      </w:r>
      <w:hyperlink r:id="rId5" w:history="1">
        <w:r w:rsidRPr="00495B8F">
          <w:rPr>
            <w:rStyle w:val="Hyperlink"/>
            <w:color w:val="auto"/>
            <w:u w:val="none"/>
          </w:rPr>
          <w:t>https://ecipe.org/publications/stealing-thunder/</w:t>
        </w:r>
      </w:hyperlink>
      <w:r w:rsidR="00ED2B90">
        <w:t>.</w:t>
      </w:r>
    </w:p>
  </w:footnote>
  <w:footnote w:id="77">
    <w:p w:rsidR="008F11A9" w:rsidRDefault="008F11A9" w:rsidP="00F522AF">
      <w:pPr>
        <w:pStyle w:val="Footnotes"/>
        <w:spacing w:line="240" w:lineRule="auto"/>
      </w:pPr>
      <w:r>
        <w:rPr>
          <w:rStyle w:val="FootnoteReference"/>
        </w:rPr>
        <w:footnoteRef/>
      </w:r>
      <w:r>
        <w:t xml:space="preserve"> </w:t>
      </w:r>
      <w:r w:rsidR="00ED2B90">
        <w:t xml:space="preserve">Jacob, </w:t>
      </w:r>
      <w:r w:rsidR="00ED2B90" w:rsidRPr="00ED2B90">
        <w:rPr>
          <w:u w:val="single"/>
        </w:rPr>
        <w:t>supra</w:t>
      </w:r>
      <w:r w:rsidR="00ED2B90">
        <w:t xml:space="preserve">, </w:t>
      </w:r>
      <w:r w:rsidRPr="00495B8F">
        <w:t>205</w:t>
      </w:r>
      <w:r w:rsidR="00ED2B90">
        <w:t xml:space="preserve"> </w:t>
      </w:r>
      <w:r w:rsidR="00907AD4">
        <w:t>–</w:t>
      </w:r>
      <w:r w:rsidRPr="00495B8F">
        <w:t xml:space="preserve"> </w:t>
      </w:r>
      <w:r w:rsidR="00907AD4">
        <w:t>“</w:t>
      </w:r>
      <w:r w:rsidRPr="00495B8F">
        <w:t xml:space="preserve">Trade secrets are non-exclusive, so it is not a misappropriation to independently discover the secret information or otherwise reverse engineer it from a properly obtained source. Moreover, trade secrets have been described as </w:t>
      </w:r>
      <w:r w:rsidR="00907AD4">
        <w:t>‘</w:t>
      </w:r>
      <w:r w:rsidRPr="00495B8F">
        <w:t>too slippery</w:t>
      </w:r>
      <w:r w:rsidR="00907AD4">
        <w:t>’</w:t>
      </w:r>
      <w:r w:rsidRPr="00495B8F">
        <w:t xml:space="preserve"> for any higher legal protection because information is not treated in law as property</w:t>
      </w:r>
      <w:r w:rsidR="00907AD4">
        <w:t>”.</w:t>
      </w:r>
    </w:p>
  </w:footnote>
  <w:footnote w:id="78">
    <w:p w:rsidR="004923FC" w:rsidRDefault="004923FC" w:rsidP="00F522AF">
      <w:pPr>
        <w:pStyle w:val="Footnotes"/>
        <w:spacing w:line="240" w:lineRule="auto"/>
      </w:pPr>
      <w:r>
        <w:rPr>
          <w:rStyle w:val="FootnoteReference"/>
        </w:rPr>
        <w:footnoteRef/>
      </w:r>
      <w:r>
        <w:t xml:space="preserve"> </w:t>
      </w:r>
      <w:r w:rsidR="00907AD4">
        <w:t xml:space="preserve">World Intellectual Property Organization, </w:t>
      </w:r>
      <w:r w:rsidRPr="00907AD4">
        <w:rPr>
          <w:u w:val="single"/>
        </w:rPr>
        <w:t>Survey on Technology Transfer Agreements and Antitrust</w:t>
      </w:r>
      <w:r w:rsidR="00907AD4">
        <w:t xml:space="preserve">, </w:t>
      </w:r>
      <w:r w:rsidRPr="00495B8F">
        <w:t>(2013)</w:t>
      </w:r>
      <w:r w:rsidR="00907AD4">
        <w:t>.</w:t>
      </w:r>
    </w:p>
  </w:footnote>
  <w:footnote w:id="79">
    <w:p w:rsidR="004923FC" w:rsidRDefault="004923FC" w:rsidP="00F522AF">
      <w:pPr>
        <w:pStyle w:val="Footnotes"/>
        <w:spacing w:line="240" w:lineRule="auto"/>
      </w:pPr>
      <w:r>
        <w:rPr>
          <w:rStyle w:val="FootnoteReference"/>
        </w:rPr>
        <w:footnoteRef/>
      </w:r>
      <w:r>
        <w:t xml:space="preserve"> </w:t>
      </w:r>
      <w:r w:rsidR="00943754" w:rsidRPr="00F522AF">
        <w:t>Beale</w:t>
      </w:r>
      <w:r w:rsidR="00A932A1">
        <w:t xml:space="preserve"> et al.</w:t>
      </w:r>
      <w:r w:rsidR="00943754">
        <w:t xml:space="preserve">, </w:t>
      </w:r>
      <w:r w:rsidR="00943754" w:rsidRPr="00943754">
        <w:rPr>
          <w:u w:val="single"/>
        </w:rPr>
        <w:t>supra</w:t>
      </w:r>
      <w:r w:rsidR="00943754">
        <w:t xml:space="preserve">, </w:t>
      </w:r>
      <w:r w:rsidRPr="004923FC">
        <w:t>466</w:t>
      </w:r>
      <w:r w:rsidR="00943754">
        <w:t>.</w:t>
      </w:r>
    </w:p>
  </w:footnote>
  <w:footnote w:id="80">
    <w:p w:rsidR="004923FC" w:rsidRDefault="004923FC" w:rsidP="00F522AF">
      <w:pPr>
        <w:pStyle w:val="Footnotes"/>
        <w:spacing w:line="240" w:lineRule="auto"/>
      </w:pPr>
      <w:r>
        <w:rPr>
          <w:rStyle w:val="FootnoteReference"/>
        </w:rPr>
        <w:footnoteRef/>
      </w:r>
      <w:r>
        <w:t xml:space="preserve"> </w:t>
      </w:r>
      <w:r w:rsidR="00943754">
        <w:t xml:space="preserve">Department of Justice, </w:t>
      </w:r>
      <w:r w:rsidR="00943754" w:rsidRPr="00943754">
        <w:rPr>
          <w:u w:val="single"/>
        </w:rPr>
        <w:t>supra</w:t>
      </w:r>
      <w:r w:rsidR="00943754">
        <w:t xml:space="preserve">, </w:t>
      </w:r>
      <w:r w:rsidRPr="00495B8F">
        <w:t>19</w:t>
      </w:r>
      <w:r w:rsidR="00943754">
        <w:t>.</w:t>
      </w:r>
    </w:p>
  </w:footnote>
  <w:footnote w:id="81">
    <w:p w:rsidR="004923FC" w:rsidRDefault="004923FC" w:rsidP="00F522AF">
      <w:pPr>
        <w:pStyle w:val="Footnotes"/>
        <w:spacing w:line="240" w:lineRule="auto"/>
      </w:pPr>
      <w:r>
        <w:rPr>
          <w:rStyle w:val="FootnoteReference"/>
        </w:rPr>
        <w:footnoteRef/>
      </w:r>
      <w:r>
        <w:t xml:space="preserve"> </w:t>
      </w:r>
      <w:r w:rsidR="00943754" w:rsidRPr="00495B8F">
        <w:t>Public Accounts Committee of the House of Commons</w:t>
      </w:r>
      <w:r w:rsidRPr="00495B8F">
        <w:t xml:space="preserve">, </w:t>
      </w:r>
      <w:r w:rsidR="00943754" w:rsidRPr="00943754">
        <w:rPr>
          <w:u w:val="single"/>
        </w:rPr>
        <w:t>supra</w:t>
      </w:r>
      <w:r w:rsidR="00943754">
        <w:t xml:space="preserve">, </w:t>
      </w:r>
      <w:r w:rsidRPr="00495B8F">
        <w:t>Q.93</w:t>
      </w:r>
      <w:r w:rsidR="009437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2AF" w:rsidRDefault="00F5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2AF" w:rsidRDefault="00F52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2AF" w:rsidRDefault="00F5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1A497A"/>
    <w:multiLevelType w:val="hybridMultilevel"/>
    <w:tmpl w:val="FE409A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6147A2"/>
    <w:multiLevelType w:val="hybridMultilevel"/>
    <w:tmpl w:val="C6A0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34841"/>
    <w:multiLevelType w:val="multilevel"/>
    <w:tmpl w:val="4EC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3A4225"/>
    <w:multiLevelType w:val="hybridMultilevel"/>
    <w:tmpl w:val="A5C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31BD7"/>
    <w:multiLevelType w:val="hybridMultilevel"/>
    <w:tmpl w:val="83E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60570"/>
    <w:multiLevelType w:val="hybridMultilevel"/>
    <w:tmpl w:val="8894FA10"/>
    <w:lvl w:ilvl="0" w:tplc="4F1A0DFA">
      <w:numFmt w:val="bullet"/>
      <w:lvlText w:val=""/>
      <w:lvlJc w:val="left"/>
      <w:pPr>
        <w:ind w:left="400" w:hanging="360"/>
      </w:pPr>
      <w:rPr>
        <w:rFonts w:ascii="Wingdings" w:eastAsiaTheme="minorHAnsi" w:hAnsi="Wingdings"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2" w15:restartNumberingAfterBreak="0">
    <w:nsid w:val="30101A74"/>
    <w:multiLevelType w:val="hybridMultilevel"/>
    <w:tmpl w:val="DC0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B44B66"/>
    <w:multiLevelType w:val="hybridMultilevel"/>
    <w:tmpl w:val="7A0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2E4D73"/>
    <w:multiLevelType w:val="hybridMultilevel"/>
    <w:tmpl w:val="F78A2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C16945"/>
    <w:multiLevelType w:val="hybridMultilevel"/>
    <w:tmpl w:val="956A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95A77"/>
    <w:multiLevelType w:val="hybridMultilevel"/>
    <w:tmpl w:val="819A95BA"/>
    <w:lvl w:ilvl="0" w:tplc="9A96F2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247EB"/>
    <w:multiLevelType w:val="hybridMultilevel"/>
    <w:tmpl w:val="FC2A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B851CC"/>
    <w:multiLevelType w:val="hybridMultilevel"/>
    <w:tmpl w:val="8310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F673D"/>
    <w:multiLevelType w:val="hybridMultilevel"/>
    <w:tmpl w:val="C648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61C5D"/>
    <w:multiLevelType w:val="hybridMultilevel"/>
    <w:tmpl w:val="9F4A8688"/>
    <w:lvl w:ilvl="0" w:tplc="ABE84DA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34"/>
  </w:num>
  <w:num w:numId="2">
    <w:abstractNumId w:val="27"/>
  </w:num>
  <w:num w:numId="3">
    <w:abstractNumId w:val="19"/>
  </w:num>
  <w:num w:numId="4">
    <w:abstractNumId w:val="12"/>
  </w:num>
  <w:num w:numId="5">
    <w:abstractNumId w:val="37"/>
  </w:num>
  <w:num w:numId="6">
    <w:abstractNumId w:val="21"/>
  </w:num>
  <w:num w:numId="7">
    <w:abstractNumId w:val="28"/>
  </w:num>
  <w:num w:numId="8">
    <w:abstractNumId w:val="38"/>
  </w:num>
  <w:num w:numId="9">
    <w:abstractNumId w:val="13"/>
  </w:num>
  <w:num w:numId="10">
    <w:abstractNumId w:val="22"/>
  </w:num>
  <w:num w:numId="11">
    <w:abstractNumId w:val="20"/>
  </w:num>
  <w:num w:numId="12">
    <w:abstractNumId w:val="36"/>
  </w:num>
  <w:num w:numId="13">
    <w:abstractNumId w:val="33"/>
  </w:num>
  <w:num w:numId="14">
    <w:abstractNumId w:val="17"/>
  </w:num>
  <w:num w:numId="15">
    <w:abstractNumId w:val="24"/>
  </w:num>
  <w:num w:numId="16">
    <w:abstractNumId w:val="18"/>
  </w:num>
  <w:num w:numId="17">
    <w:abstractNumId w:val="29"/>
  </w:num>
  <w:num w:numId="18">
    <w:abstractNumId w:val="1"/>
  </w:num>
  <w:num w:numId="19">
    <w:abstractNumId w:val="2"/>
  </w:num>
  <w:num w:numId="20">
    <w:abstractNumId w:val="3"/>
  </w:num>
  <w:num w:numId="21">
    <w:abstractNumId w:val="4"/>
  </w:num>
  <w:num w:numId="22">
    <w:abstractNumId w:val="9"/>
  </w:num>
  <w:num w:numId="23">
    <w:abstractNumId w:val="5"/>
  </w:num>
  <w:num w:numId="24">
    <w:abstractNumId w:val="7"/>
  </w:num>
  <w:num w:numId="25">
    <w:abstractNumId w:val="6"/>
  </w:num>
  <w:num w:numId="26">
    <w:abstractNumId w:val="10"/>
  </w:num>
  <w:num w:numId="27">
    <w:abstractNumId w:val="8"/>
  </w:num>
  <w:num w:numId="28">
    <w:abstractNumId w:val="25"/>
  </w:num>
  <w:num w:numId="29">
    <w:abstractNumId w:val="30"/>
  </w:num>
  <w:num w:numId="30">
    <w:abstractNumId w:val="16"/>
  </w:num>
  <w:num w:numId="31">
    <w:abstractNumId w:val="23"/>
  </w:num>
  <w:num w:numId="32">
    <w:abstractNumId w:val="11"/>
  </w:num>
  <w:num w:numId="33">
    <w:abstractNumId w:val="0"/>
  </w:num>
  <w:num w:numId="34">
    <w:abstractNumId w:val="14"/>
  </w:num>
  <w:num w:numId="35">
    <w:abstractNumId w:val="26"/>
  </w:num>
  <w:num w:numId="36">
    <w:abstractNumId w:val="31"/>
  </w:num>
  <w:num w:numId="37">
    <w:abstractNumId w:val="32"/>
  </w:num>
  <w:num w:numId="38">
    <w:abstractNumId w:val="1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en-US" w:vendorID="64" w:dllVersion="4096" w:nlCheck="1" w:checkStyle="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89"/>
    <w:rsid w:val="00005DC8"/>
    <w:rsid w:val="00010013"/>
    <w:rsid w:val="00013953"/>
    <w:rsid w:val="00016CF8"/>
    <w:rsid w:val="00017388"/>
    <w:rsid w:val="000256FE"/>
    <w:rsid w:val="000311E4"/>
    <w:rsid w:val="000319CD"/>
    <w:rsid w:val="00031E7A"/>
    <w:rsid w:val="0003239A"/>
    <w:rsid w:val="0003682C"/>
    <w:rsid w:val="00037B3A"/>
    <w:rsid w:val="0004080A"/>
    <w:rsid w:val="0004749A"/>
    <w:rsid w:val="00047EF4"/>
    <w:rsid w:val="000612C8"/>
    <w:rsid w:val="000679E6"/>
    <w:rsid w:val="00085F7B"/>
    <w:rsid w:val="00090F64"/>
    <w:rsid w:val="00097033"/>
    <w:rsid w:val="000B0B5D"/>
    <w:rsid w:val="000B0C7F"/>
    <w:rsid w:val="000B1DA7"/>
    <w:rsid w:val="000B4CD2"/>
    <w:rsid w:val="000B554E"/>
    <w:rsid w:val="000B5591"/>
    <w:rsid w:val="000B6D8D"/>
    <w:rsid w:val="000C3480"/>
    <w:rsid w:val="000C60DE"/>
    <w:rsid w:val="000D611E"/>
    <w:rsid w:val="000D6159"/>
    <w:rsid w:val="000D7E3D"/>
    <w:rsid w:val="000E7ABF"/>
    <w:rsid w:val="001000BC"/>
    <w:rsid w:val="00103A0D"/>
    <w:rsid w:val="001133BA"/>
    <w:rsid w:val="001264EE"/>
    <w:rsid w:val="00126EF2"/>
    <w:rsid w:val="00137DF6"/>
    <w:rsid w:val="00144CC9"/>
    <w:rsid w:val="00152D7A"/>
    <w:rsid w:val="00153D9A"/>
    <w:rsid w:val="001564BC"/>
    <w:rsid w:val="0015672E"/>
    <w:rsid w:val="00161869"/>
    <w:rsid w:val="0016399D"/>
    <w:rsid w:val="00164A00"/>
    <w:rsid w:val="00165FC9"/>
    <w:rsid w:val="00170FA7"/>
    <w:rsid w:val="00172745"/>
    <w:rsid w:val="00172E17"/>
    <w:rsid w:val="00173CEA"/>
    <w:rsid w:val="0017538B"/>
    <w:rsid w:val="0018170E"/>
    <w:rsid w:val="0019343B"/>
    <w:rsid w:val="0019666B"/>
    <w:rsid w:val="001977A7"/>
    <w:rsid w:val="001A1B89"/>
    <w:rsid w:val="001A360E"/>
    <w:rsid w:val="001B71F1"/>
    <w:rsid w:val="001C00E6"/>
    <w:rsid w:val="001C2944"/>
    <w:rsid w:val="001C7E74"/>
    <w:rsid w:val="001D3040"/>
    <w:rsid w:val="001D47DA"/>
    <w:rsid w:val="001D7DC6"/>
    <w:rsid w:val="001E0984"/>
    <w:rsid w:val="001E625C"/>
    <w:rsid w:val="001F2BBF"/>
    <w:rsid w:val="001F3F1B"/>
    <w:rsid w:val="001F5013"/>
    <w:rsid w:val="002042B7"/>
    <w:rsid w:val="00205925"/>
    <w:rsid w:val="0020594F"/>
    <w:rsid w:val="002078EB"/>
    <w:rsid w:val="0021781C"/>
    <w:rsid w:val="00220935"/>
    <w:rsid w:val="00220EDD"/>
    <w:rsid w:val="0022600E"/>
    <w:rsid w:val="0023074B"/>
    <w:rsid w:val="00231A0A"/>
    <w:rsid w:val="00231ED8"/>
    <w:rsid w:val="00236C2B"/>
    <w:rsid w:val="0023796C"/>
    <w:rsid w:val="002406EA"/>
    <w:rsid w:val="0024171F"/>
    <w:rsid w:val="002469CE"/>
    <w:rsid w:val="00246FEE"/>
    <w:rsid w:val="00250471"/>
    <w:rsid w:val="00254550"/>
    <w:rsid w:val="0025564A"/>
    <w:rsid w:val="00257217"/>
    <w:rsid w:val="00257DE1"/>
    <w:rsid w:val="0026160C"/>
    <w:rsid w:val="00270714"/>
    <w:rsid w:val="00270F69"/>
    <w:rsid w:val="00271154"/>
    <w:rsid w:val="0027590C"/>
    <w:rsid w:val="00275AFF"/>
    <w:rsid w:val="002809BC"/>
    <w:rsid w:val="00281B9C"/>
    <w:rsid w:val="002845F8"/>
    <w:rsid w:val="002850F3"/>
    <w:rsid w:val="00286026"/>
    <w:rsid w:val="002879A9"/>
    <w:rsid w:val="00293E50"/>
    <w:rsid w:val="00293FD5"/>
    <w:rsid w:val="002A12AC"/>
    <w:rsid w:val="002A6588"/>
    <w:rsid w:val="002B4838"/>
    <w:rsid w:val="002C2D89"/>
    <w:rsid w:val="002C491B"/>
    <w:rsid w:val="002C646F"/>
    <w:rsid w:val="002D33E4"/>
    <w:rsid w:val="002D34D9"/>
    <w:rsid w:val="002D7490"/>
    <w:rsid w:val="002E1863"/>
    <w:rsid w:val="002F59F8"/>
    <w:rsid w:val="00300EB2"/>
    <w:rsid w:val="00301F7F"/>
    <w:rsid w:val="00312DFE"/>
    <w:rsid w:val="00317AAA"/>
    <w:rsid w:val="003213AA"/>
    <w:rsid w:val="00323835"/>
    <w:rsid w:val="00325B3F"/>
    <w:rsid w:val="00331CF3"/>
    <w:rsid w:val="0033740F"/>
    <w:rsid w:val="00341604"/>
    <w:rsid w:val="003429F4"/>
    <w:rsid w:val="00350F18"/>
    <w:rsid w:val="003542C2"/>
    <w:rsid w:val="00364A7F"/>
    <w:rsid w:val="00386E35"/>
    <w:rsid w:val="0039522E"/>
    <w:rsid w:val="0039645A"/>
    <w:rsid w:val="00396AB7"/>
    <w:rsid w:val="003B1314"/>
    <w:rsid w:val="003B14D7"/>
    <w:rsid w:val="003B321E"/>
    <w:rsid w:val="003B502F"/>
    <w:rsid w:val="003B6137"/>
    <w:rsid w:val="003D59F3"/>
    <w:rsid w:val="003D77F1"/>
    <w:rsid w:val="003F14BB"/>
    <w:rsid w:val="003F1D7A"/>
    <w:rsid w:val="00411B54"/>
    <w:rsid w:val="004124EB"/>
    <w:rsid w:val="004131E6"/>
    <w:rsid w:val="0041449B"/>
    <w:rsid w:val="00414755"/>
    <w:rsid w:val="00414ED4"/>
    <w:rsid w:val="00420DEF"/>
    <w:rsid w:val="004238A5"/>
    <w:rsid w:val="004278A7"/>
    <w:rsid w:val="004302FD"/>
    <w:rsid w:val="00437E9C"/>
    <w:rsid w:val="00437FDE"/>
    <w:rsid w:val="0044273B"/>
    <w:rsid w:val="00443179"/>
    <w:rsid w:val="0044576D"/>
    <w:rsid w:val="004527F7"/>
    <w:rsid w:val="00457919"/>
    <w:rsid w:val="00475AA6"/>
    <w:rsid w:val="00481FE0"/>
    <w:rsid w:val="00482DB3"/>
    <w:rsid w:val="00490F25"/>
    <w:rsid w:val="004923FC"/>
    <w:rsid w:val="00495B8F"/>
    <w:rsid w:val="004A2BEA"/>
    <w:rsid w:val="004A5EE3"/>
    <w:rsid w:val="004A6503"/>
    <w:rsid w:val="004B2C9A"/>
    <w:rsid w:val="004B3A2E"/>
    <w:rsid w:val="004C2C2F"/>
    <w:rsid w:val="004C41D2"/>
    <w:rsid w:val="004D0169"/>
    <w:rsid w:val="004D780C"/>
    <w:rsid w:val="004E27B1"/>
    <w:rsid w:val="004E59F2"/>
    <w:rsid w:val="004F2B4C"/>
    <w:rsid w:val="004F48BE"/>
    <w:rsid w:val="00501E87"/>
    <w:rsid w:val="00501EF1"/>
    <w:rsid w:val="005044A2"/>
    <w:rsid w:val="0050478D"/>
    <w:rsid w:val="005072FF"/>
    <w:rsid w:val="00513A64"/>
    <w:rsid w:val="00521394"/>
    <w:rsid w:val="005224F1"/>
    <w:rsid w:val="0053518D"/>
    <w:rsid w:val="00545762"/>
    <w:rsid w:val="0055388D"/>
    <w:rsid w:val="005636E2"/>
    <w:rsid w:val="00566CF6"/>
    <w:rsid w:val="0056721F"/>
    <w:rsid w:val="00574FDD"/>
    <w:rsid w:val="005800DB"/>
    <w:rsid w:val="0058139C"/>
    <w:rsid w:val="00593EE7"/>
    <w:rsid w:val="005A6B56"/>
    <w:rsid w:val="005A77BC"/>
    <w:rsid w:val="005B0245"/>
    <w:rsid w:val="005B1BC3"/>
    <w:rsid w:val="005B5FB4"/>
    <w:rsid w:val="005B6EF0"/>
    <w:rsid w:val="005C1F9C"/>
    <w:rsid w:val="005C252B"/>
    <w:rsid w:val="005C5AB1"/>
    <w:rsid w:val="005D1F4C"/>
    <w:rsid w:val="005D6AAA"/>
    <w:rsid w:val="005E265D"/>
    <w:rsid w:val="005E4F7C"/>
    <w:rsid w:val="005E5B26"/>
    <w:rsid w:val="005F7B50"/>
    <w:rsid w:val="005F7DCE"/>
    <w:rsid w:val="00617F43"/>
    <w:rsid w:val="006215CD"/>
    <w:rsid w:val="00622942"/>
    <w:rsid w:val="006236A9"/>
    <w:rsid w:val="006303CB"/>
    <w:rsid w:val="00632D9B"/>
    <w:rsid w:val="00632F1F"/>
    <w:rsid w:val="006429CA"/>
    <w:rsid w:val="00644577"/>
    <w:rsid w:val="00651F86"/>
    <w:rsid w:val="00652666"/>
    <w:rsid w:val="0065373F"/>
    <w:rsid w:val="00663B62"/>
    <w:rsid w:val="00665A28"/>
    <w:rsid w:val="00667587"/>
    <w:rsid w:val="00673936"/>
    <w:rsid w:val="00674F00"/>
    <w:rsid w:val="00675042"/>
    <w:rsid w:val="00675EE6"/>
    <w:rsid w:val="00677147"/>
    <w:rsid w:val="00694854"/>
    <w:rsid w:val="006A110F"/>
    <w:rsid w:val="006A347E"/>
    <w:rsid w:val="006A42F8"/>
    <w:rsid w:val="006A6822"/>
    <w:rsid w:val="006B5A71"/>
    <w:rsid w:val="006B6051"/>
    <w:rsid w:val="006C2CE7"/>
    <w:rsid w:val="006C4C8A"/>
    <w:rsid w:val="006C7B27"/>
    <w:rsid w:val="006C7BC1"/>
    <w:rsid w:val="006D23F4"/>
    <w:rsid w:val="006D459E"/>
    <w:rsid w:val="006D56B2"/>
    <w:rsid w:val="006D7879"/>
    <w:rsid w:val="006F2982"/>
    <w:rsid w:val="007045EC"/>
    <w:rsid w:val="0071784C"/>
    <w:rsid w:val="00717D2C"/>
    <w:rsid w:val="007275B4"/>
    <w:rsid w:val="00735BC1"/>
    <w:rsid w:val="00740FAD"/>
    <w:rsid w:val="0074532F"/>
    <w:rsid w:val="00754488"/>
    <w:rsid w:val="007771F2"/>
    <w:rsid w:val="00785297"/>
    <w:rsid w:val="00791313"/>
    <w:rsid w:val="00792FA8"/>
    <w:rsid w:val="00795502"/>
    <w:rsid w:val="007A0C57"/>
    <w:rsid w:val="007A37BB"/>
    <w:rsid w:val="007A5288"/>
    <w:rsid w:val="007B1766"/>
    <w:rsid w:val="007B2B1C"/>
    <w:rsid w:val="007B4A17"/>
    <w:rsid w:val="007C058C"/>
    <w:rsid w:val="007C1D48"/>
    <w:rsid w:val="007C3351"/>
    <w:rsid w:val="007C41BA"/>
    <w:rsid w:val="007D7481"/>
    <w:rsid w:val="007E39D3"/>
    <w:rsid w:val="007E6798"/>
    <w:rsid w:val="007F2244"/>
    <w:rsid w:val="007F4AFD"/>
    <w:rsid w:val="00801399"/>
    <w:rsid w:val="00802288"/>
    <w:rsid w:val="00814A11"/>
    <w:rsid w:val="00816CEB"/>
    <w:rsid w:val="008174D2"/>
    <w:rsid w:val="0082081D"/>
    <w:rsid w:val="00830502"/>
    <w:rsid w:val="00833CE5"/>
    <w:rsid w:val="008414EC"/>
    <w:rsid w:val="0084512E"/>
    <w:rsid w:val="00845B12"/>
    <w:rsid w:val="0085115E"/>
    <w:rsid w:val="008526AE"/>
    <w:rsid w:val="00861E2F"/>
    <w:rsid w:val="00862E6B"/>
    <w:rsid w:val="008732E4"/>
    <w:rsid w:val="00873F3A"/>
    <w:rsid w:val="00876105"/>
    <w:rsid w:val="00876A8F"/>
    <w:rsid w:val="00880543"/>
    <w:rsid w:val="00885A61"/>
    <w:rsid w:val="008922AE"/>
    <w:rsid w:val="0089353C"/>
    <w:rsid w:val="008936A7"/>
    <w:rsid w:val="00893AA4"/>
    <w:rsid w:val="008A0B35"/>
    <w:rsid w:val="008A722B"/>
    <w:rsid w:val="008B6993"/>
    <w:rsid w:val="008C2979"/>
    <w:rsid w:val="008C2DE2"/>
    <w:rsid w:val="008C4E54"/>
    <w:rsid w:val="008C51A0"/>
    <w:rsid w:val="008C551C"/>
    <w:rsid w:val="008C5E8C"/>
    <w:rsid w:val="008C655F"/>
    <w:rsid w:val="008D44FB"/>
    <w:rsid w:val="008D541D"/>
    <w:rsid w:val="008D5656"/>
    <w:rsid w:val="008E4647"/>
    <w:rsid w:val="008E749B"/>
    <w:rsid w:val="008F11A9"/>
    <w:rsid w:val="008F2104"/>
    <w:rsid w:val="00907AD4"/>
    <w:rsid w:val="009106E0"/>
    <w:rsid w:val="00912602"/>
    <w:rsid w:val="00920920"/>
    <w:rsid w:val="00922C2B"/>
    <w:rsid w:val="00933C06"/>
    <w:rsid w:val="00937C04"/>
    <w:rsid w:val="00943754"/>
    <w:rsid w:val="00951894"/>
    <w:rsid w:val="00953D98"/>
    <w:rsid w:val="00955AF0"/>
    <w:rsid w:val="009574F9"/>
    <w:rsid w:val="00967E66"/>
    <w:rsid w:val="00976189"/>
    <w:rsid w:val="00985253"/>
    <w:rsid w:val="00986142"/>
    <w:rsid w:val="009939DA"/>
    <w:rsid w:val="00994EE4"/>
    <w:rsid w:val="00995C8C"/>
    <w:rsid w:val="009975B3"/>
    <w:rsid w:val="009B00D1"/>
    <w:rsid w:val="009C3616"/>
    <w:rsid w:val="009D70A8"/>
    <w:rsid w:val="009E5A49"/>
    <w:rsid w:val="009E72B6"/>
    <w:rsid w:val="009F088B"/>
    <w:rsid w:val="009F1B88"/>
    <w:rsid w:val="009F762D"/>
    <w:rsid w:val="00A00F03"/>
    <w:rsid w:val="00A02570"/>
    <w:rsid w:val="00A22188"/>
    <w:rsid w:val="00A236B0"/>
    <w:rsid w:val="00A236DE"/>
    <w:rsid w:val="00A2467D"/>
    <w:rsid w:val="00A25429"/>
    <w:rsid w:val="00A310FE"/>
    <w:rsid w:val="00A32CDC"/>
    <w:rsid w:val="00A35F63"/>
    <w:rsid w:val="00A4165F"/>
    <w:rsid w:val="00A43E28"/>
    <w:rsid w:val="00A46E39"/>
    <w:rsid w:val="00A54BBA"/>
    <w:rsid w:val="00A636B1"/>
    <w:rsid w:val="00A64F5C"/>
    <w:rsid w:val="00A66B85"/>
    <w:rsid w:val="00A66C71"/>
    <w:rsid w:val="00A7146C"/>
    <w:rsid w:val="00A85BB3"/>
    <w:rsid w:val="00A87F96"/>
    <w:rsid w:val="00A932A1"/>
    <w:rsid w:val="00A94C75"/>
    <w:rsid w:val="00AA253B"/>
    <w:rsid w:val="00AA6872"/>
    <w:rsid w:val="00AA6D20"/>
    <w:rsid w:val="00AB101A"/>
    <w:rsid w:val="00AB14E9"/>
    <w:rsid w:val="00AD1E51"/>
    <w:rsid w:val="00AD768B"/>
    <w:rsid w:val="00AD7D0D"/>
    <w:rsid w:val="00AE6ED6"/>
    <w:rsid w:val="00B02EB8"/>
    <w:rsid w:val="00B07168"/>
    <w:rsid w:val="00B137EE"/>
    <w:rsid w:val="00B1641B"/>
    <w:rsid w:val="00B2145D"/>
    <w:rsid w:val="00B2351F"/>
    <w:rsid w:val="00B26210"/>
    <w:rsid w:val="00B26348"/>
    <w:rsid w:val="00B41645"/>
    <w:rsid w:val="00B4177B"/>
    <w:rsid w:val="00B4573A"/>
    <w:rsid w:val="00B556D6"/>
    <w:rsid w:val="00B559E3"/>
    <w:rsid w:val="00B60C14"/>
    <w:rsid w:val="00B624AD"/>
    <w:rsid w:val="00B6699A"/>
    <w:rsid w:val="00B75068"/>
    <w:rsid w:val="00B75BBC"/>
    <w:rsid w:val="00B92016"/>
    <w:rsid w:val="00B939F4"/>
    <w:rsid w:val="00B93F38"/>
    <w:rsid w:val="00BA1DF0"/>
    <w:rsid w:val="00BA1F06"/>
    <w:rsid w:val="00BC1222"/>
    <w:rsid w:val="00BC6933"/>
    <w:rsid w:val="00BD41DF"/>
    <w:rsid w:val="00BD4E75"/>
    <w:rsid w:val="00BD5F86"/>
    <w:rsid w:val="00BF1B9D"/>
    <w:rsid w:val="00C0423F"/>
    <w:rsid w:val="00C14F56"/>
    <w:rsid w:val="00C1551F"/>
    <w:rsid w:val="00C21112"/>
    <w:rsid w:val="00C22D0C"/>
    <w:rsid w:val="00C22F9B"/>
    <w:rsid w:val="00C23248"/>
    <w:rsid w:val="00C3133F"/>
    <w:rsid w:val="00C3387F"/>
    <w:rsid w:val="00C347D7"/>
    <w:rsid w:val="00C515F2"/>
    <w:rsid w:val="00C51E3D"/>
    <w:rsid w:val="00C521DD"/>
    <w:rsid w:val="00C54959"/>
    <w:rsid w:val="00C55250"/>
    <w:rsid w:val="00C578D4"/>
    <w:rsid w:val="00C6725A"/>
    <w:rsid w:val="00C7074A"/>
    <w:rsid w:val="00C72528"/>
    <w:rsid w:val="00C73B66"/>
    <w:rsid w:val="00C75620"/>
    <w:rsid w:val="00C76527"/>
    <w:rsid w:val="00C8171D"/>
    <w:rsid w:val="00CA2FBC"/>
    <w:rsid w:val="00CA4434"/>
    <w:rsid w:val="00CA4CE9"/>
    <w:rsid w:val="00CB47A2"/>
    <w:rsid w:val="00CB598B"/>
    <w:rsid w:val="00CC3087"/>
    <w:rsid w:val="00CC7018"/>
    <w:rsid w:val="00CD0AA9"/>
    <w:rsid w:val="00CD3CB1"/>
    <w:rsid w:val="00CD3F08"/>
    <w:rsid w:val="00CE112A"/>
    <w:rsid w:val="00CE3646"/>
    <w:rsid w:val="00CF0979"/>
    <w:rsid w:val="00CF229B"/>
    <w:rsid w:val="00CF3192"/>
    <w:rsid w:val="00D01739"/>
    <w:rsid w:val="00D11B43"/>
    <w:rsid w:val="00D1680C"/>
    <w:rsid w:val="00D24A02"/>
    <w:rsid w:val="00D27EBD"/>
    <w:rsid w:val="00D30CF1"/>
    <w:rsid w:val="00D33621"/>
    <w:rsid w:val="00D469B0"/>
    <w:rsid w:val="00D51B68"/>
    <w:rsid w:val="00D60A34"/>
    <w:rsid w:val="00D63EC5"/>
    <w:rsid w:val="00D73F86"/>
    <w:rsid w:val="00D8286E"/>
    <w:rsid w:val="00D84C0A"/>
    <w:rsid w:val="00DA00E4"/>
    <w:rsid w:val="00DA60F9"/>
    <w:rsid w:val="00DA6B42"/>
    <w:rsid w:val="00DB439A"/>
    <w:rsid w:val="00DC0E54"/>
    <w:rsid w:val="00DC7414"/>
    <w:rsid w:val="00DC7A78"/>
    <w:rsid w:val="00DD10D5"/>
    <w:rsid w:val="00DD330A"/>
    <w:rsid w:val="00DE03C6"/>
    <w:rsid w:val="00DE3FF9"/>
    <w:rsid w:val="00E037A3"/>
    <w:rsid w:val="00E03BE1"/>
    <w:rsid w:val="00E06FAC"/>
    <w:rsid w:val="00E10307"/>
    <w:rsid w:val="00E21C54"/>
    <w:rsid w:val="00E22C27"/>
    <w:rsid w:val="00E274C3"/>
    <w:rsid w:val="00E31C64"/>
    <w:rsid w:val="00E454E9"/>
    <w:rsid w:val="00E4753B"/>
    <w:rsid w:val="00E51484"/>
    <w:rsid w:val="00E53090"/>
    <w:rsid w:val="00E5495A"/>
    <w:rsid w:val="00E6074D"/>
    <w:rsid w:val="00E6328E"/>
    <w:rsid w:val="00E64864"/>
    <w:rsid w:val="00E73951"/>
    <w:rsid w:val="00E765DA"/>
    <w:rsid w:val="00E76D20"/>
    <w:rsid w:val="00E80EE2"/>
    <w:rsid w:val="00E84ED3"/>
    <w:rsid w:val="00E91F8A"/>
    <w:rsid w:val="00E976D5"/>
    <w:rsid w:val="00EA506A"/>
    <w:rsid w:val="00EB225C"/>
    <w:rsid w:val="00EB6AF9"/>
    <w:rsid w:val="00EC42BD"/>
    <w:rsid w:val="00EC4ED1"/>
    <w:rsid w:val="00EC577E"/>
    <w:rsid w:val="00ED2B90"/>
    <w:rsid w:val="00ED7983"/>
    <w:rsid w:val="00EE023F"/>
    <w:rsid w:val="00EE2211"/>
    <w:rsid w:val="00EE4C3F"/>
    <w:rsid w:val="00EE508C"/>
    <w:rsid w:val="00EE64BE"/>
    <w:rsid w:val="00EE7377"/>
    <w:rsid w:val="00EF7408"/>
    <w:rsid w:val="00F12923"/>
    <w:rsid w:val="00F16E76"/>
    <w:rsid w:val="00F237B1"/>
    <w:rsid w:val="00F24768"/>
    <w:rsid w:val="00F343AA"/>
    <w:rsid w:val="00F4418C"/>
    <w:rsid w:val="00F50D50"/>
    <w:rsid w:val="00F522AF"/>
    <w:rsid w:val="00F5511B"/>
    <w:rsid w:val="00F565FA"/>
    <w:rsid w:val="00F568DC"/>
    <w:rsid w:val="00F57EA1"/>
    <w:rsid w:val="00F57F3F"/>
    <w:rsid w:val="00F605BD"/>
    <w:rsid w:val="00F61474"/>
    <w:rsid w:val="00F64179"/>
    <w:rsid w:val="00F717AE"/>
    <w:rsid w:val="00F73680"/>
    <w:rsid w:val="00F76556"/>
    <w:rsid w:val="00F85A46"/>
    <w:rsid w:val="00F97DDB"/>
    <w:rsid w:val="00FA3FA3"/>
    <w:rsid w:val="00FC76F6"/>
    <w:rsid w:val="00FD06E8"/>
    <w:rsid w:val="00FD771D"/>
    <w:rsid w:val="00FE1D10"/>
    <w:rsid w:val="00FF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BE778F25-02CB-1042-A3D2-B5F459EA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10"/>
    <w:pPr>
      <w:spacing w:line="480" w:lineRule="auto"/>
    </w:pPr>
    <w:rPr>
      <w:rFonts w:ascii="Times New Roman" w:eastAsia="Times New Roman" w:hAnsi="Times New Roman" w:cs="Times New Roman"/>
      <w:lang w:val="en-US" w:eastAsia="en-GB"/>
    </w:rPr>
  </w:style>
  <w:style w:type="paragraph" w:styleId="Heading1">
    <w:name w:val="heading 1"/>
    <w:basedOn w:val="Normal"/>
    <w:next w:val="Paragraph"/>
    <w:link w:val="Heading1Char"/>
    <w:qFormat/>
    <w:rsid w:val="00FE1D1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FE1D1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FE1D10"/>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E1D10"/>
    <w:pPr>
      <w:spacing w:before="360"/>
      <w:outlineLvl w:val="3"/>
    </w:pPr>
    <w:rPr>
      <w:bCs/>
      <w:szCs w:val="28"/>
    </w:rPr>
  </w:style>
  <w:style w:type="character" w:default="1" w:styleId="DefaultParagraphFont">
    <w:name w:val="Default Paragraph Font"/>
    <w:uiPriority w:val="1"/>
    <w:semiHidden/>
    <w:unhideWhenUsed/>
    <w:rsid w:val="00FE1D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D10"/>
  </w:style>
  <w:style w:type="paragraph" w:styleId="Footer">
    <w:name w:val="footer"/>
    <w:basedOn w:val="Normal"/>
    <w:link w:val="FooterChar"/>
    <w:rsid w:val="00FE1D10"/>
    <w:pPr>
      <w:tabs>
        <w:tab w:val="center" w:pos="4320"/>
        <w:tab w:val="right" w:pos="8640"/>
      </w:tabs>
      <w:spacing w:line="240" w:lineRule="auto"/>
    </w:pPr>
  </w:style>
  <w:style w:type="character" w:customStyle="1" w:styleId="FooterChar">
    <w:name w:val="Footer Char"/>
    <w:basedOn w:val="DefaultParagraphFont"/>
    <w:link w:val="Footer"/>
    <w:rsid w:val="00FE1D10"/>
    <w:rPr>
      <w:rFonts w:ascii="Times New Roman" w:eastAsia="Times New Roman" w:hAnsi="Times New Roman" w:cs="Times New Roman"/>
      <w:lang w:val="en-US" w:eastAsia="en-GB"/>
    </w:rPr>
  </w:style>
  <w:style w:type="character" w:styleId="PageNumber">
    <w:name w:val="page number"/>
    <w:basedOn w:val="DefaultParagraphFont"/>
    <w:uiPriority w:val="99"/>
    <w:semiHidden/>
    <w:unhideWhenUsed/>
    <w:rsid w:val="00976189"/>
  </w:style>
  <w:style w:type="paragraph" w:styleId="FootnoteText">
    <w:name w:val="footnote text"/>
    <w:basedOn w:val="Normal"/>
    <w:link w:val="FootnoteTextChar"/>
    <w:autoRedefine/>
    <w:rsid w:val="00FE1D10"/>
    <w:pPr>
      <w:ind w:left="284" w:hanging="284"/>
    </w:pPr>
    <w:rPr>
      <w:sz w:val="22"/>
      <w:szCs w:val="20"/>
    </w:rPr>
  </w:style>
  <w:style w:type="character" w:customStyle="1" w:styleId="FootnoteTextChar">
    <w:name w:val="Footnote Text Char"/>
    <w:basedOn w:val="DefaultParagraphFont"/>
    <w:link w:val="FootnoteText"/>
    <w:rsid w:val="00FE1D10"/>
    <w:rPr>
      <w:rFonts w:ascii="Times New Roman" w:eastAsia="Times New Roman" w:hAnsi="Times New Roman" w:cs="Times New Roman"/>
      <w:sz w:val="22"/>
      <w:szCs w:val="20"/>
      <w:lang w:val="en-US" w:eastAsia="en-GB"/>
    </w:rPr>
  </w:style>
  <w:style w:type="character" w:styleId="FootnoteReference">
    <w:name w:val="footnote reference"/>
    <w:basedOn w:val="DefaultParagraphFont"/>
    <w:rsid w:val="00FE1D10"/>
    <w:rPr>
      <w:vertAlign w:val="superscript"/>
    </w:rPr>
  </w:style>
  <w:style w:type="paragraph" w:styleId="ListParagraph">
    <w:name w:val="List Paragraph"/>
    <w:basedOn w:val="Normal"/>
    <w:uiPriority w:val="34"/>
    <w:qFormat/>
    <w:rsid w:val="00652666"/>
    <w:pPr>
      <w:ind w:left="720"/>
      <w:contextualSpacing/>
    </w:pPr>
  </w:style>
  <w:style w:type="paragraph" w:styleId="NormalWeb">
    <w:name w:val="Normal (Web)"/>
    <w:basedOn w:val="Normal"/>
    <w:uiPriority w:val="99"/>
    <w:unhideWhenUsed/>
    <w:rsid w:val="00E274C3"/>
    <w:pPr>
      <w:spacing w:before="100" w:beforeAutospacing="1" w:after="100" w:afterAutospacing="1"/>
    </w:pPr>
  </w:style>
  <w:style w:type="character" w:styleId="Hyperlink">
    <w:name w:val="Hyperlink"/>
    <w:basedOn w:val="DefaultParagraphFont"/>
    <w:uiPriority w:val="99"/>
    <w:unhideWhenUsed/>
    <w:rsid w:val="000B4CD2"/>
    <w:rPr>
      <w:color w:val="0000FF"/>
      <w:u w:val="single"/>
    </w:rPr>
  </w:style>
  <w:style w:type="paragraph" w:styleId="Title">
    <w:name w:val="Title"/>
    <w:basedOn w:val="Normal"/>
    <w:link w:val="TitleChar"/>
    <w:qFormat/>
    <w:rsid w:val="0003239A"/>
    <w:pPr>
      <w:spacing w:after="300"/>
      <w:jc w:val="center"/>
    </w:pPr>
    <w:rPr>
      <w:rFonts w:ascii="Arial" w:eastAsia="SimSun" w:hAnsi="Arial"/>
      <w:b/>
      <w:caps/>
      <w:kern w:val="28"/>
      <w:sz w:val="30"/>
      <w:szCs w:val="20"/>
    </w:rPr>
  </w:style>
  <w:style w:type="character" w:customStyle="1" w:styleId="TitleChar">
    <w:name w:val="Title Char"/>
    <w:basedOn w:val="DefaultParagraphFont"/>
    <w:link w:val="Title"/>
    <w:rsid w:val="0003239A"/>
    <w:rPr>
      <w:rFonts w:ascii="Arial" w:eastAsia="SimSun" w:hAnsi="Arial" w:cs="Times New Roman"/>
      <w:b/>
      <w:caps/>
      <w:kern w:val="28"/>
      <w:sz w:val="30"/>
      <w:szCs w:val="20"/>
      <w:lang w:val="en-US"/>
    </w:rPr>
  </w:style>
  <w:style w:type="character" w:styleId="FollowedHyperlink">
    <w:name w:val="FollowedHyperlink"/>
    <w:basedOn w:val="DefaultParagraphFont"/>
    <w:uiPriority w:val="99"/>
    <w:semiHidden/>
    <w:unhideWhenUsed/>
    <w:rsid w:val="009D70A8"/>
    <w:rPr>
      <w:color w:val="954F72" w:themeColor="followedHyperlink"/>
      <w:u w:val="single"/>
    </w:rPr>
  </w:style>
  <w:style w:type="paragraph" w:styleId="EndnoteText">
    <w:name w:val="endnote text"/>
    <w:basedOn w:val="Normal"/>
    <w:link w:val="EndnoteTextChar"/>
    <w:autoRedefine/>
    <w:rsid w:val="00FE1D10"/>
    <w:pPr>
      <w:ind w:left="284" w:hanging="284"/>
    </w:pPr>
    <w:rPr>
      <w:sz w:val="22"/>
      <w:szCs w:val="20"/>
    </w:rPr>
  </w:style>
  <w:style w:type="character" w:customStyle="1" w:styleId="EndnoteTextChar">
    <w:name w:val="Endnote Text Char"/>
    <w:basedOn w:val="DefaultParagraphFont"/>
    <w:link w:val="EndnoteText"/>
    <w:rsid w:val="00FE1D10"/>
    <w:rPr>
      <w:rFonts w:ascii="Times New Roman" w:eastAsia="Times New Roman" w:hAnsi="Times New Roman" w:cs="Times New Roman"/>
      <w:sz w:val="22"/>
      <w:szCs w:val="20"/>
      <w:lang w:val="en-US" w:eastAsia="en-GB"/>
    </w:rPr>
  </w:style>
  <w:style w:type="paragraph" w:styleId="ListBullet">
    <w:name w:val="List Bullet"/>
    <w:basedOn w:val="Normal"/>
    <w:uiPriority w:val="31"/>
    <w:qFormat/>
    <w:rsid w:val="00BA1F06"/>
    <w:pPr>
      <w:numPr>
        <w:numId w:val="8"/>
      </w:numPr>
      <w:spacing w:before="160" w:after="320" w:line="360" w:lineRule="auto"/>
      <w:contextualSpacing/>
    </w:pPr>
    <w:rPr>
      <w:color w:val="7F7F7F" w:themeColor="text1" w:themeTint="80"/>
      <w:lang w:eastAsia="ja-JP"/>
    </w:rPr>
  </w:style>
  <w:style w:type="paragraph" w:styleId="BalloonText">
    <w:name w:val="Balloon Text"/>
    <w:basedOn w:val="Normal"/>
    <w:link w:val="BalloonTextChar"/>
    <w:uiPriority w:val="99"/>
    <w:semiHidden/>
    <w:unhideWhenUsed/>
    <w:rsid w:val="00B2351F"/>
    <w:rPr>
      <w:rFonts w:ascii="Tahoma" w:hAnsi="Tahoma" w:cs="Tahoma"/>
      <w:sz w:val="16"/>
      <w:szCs w:val="16"/>
    </w:rPr>
  </w:style>
  <w:style w:type="character" w:customStyle="1" w:styleId="BalloonTextChar">
    <w:name w:val="Balloon Text Char"/>
    <w:basedOn w:val="DefaultParagraphFont"/>
    <w:link w:val="BalloonText"/>
    <w:uiPriority w:val="99"/>
    <w:semiHidden/>
    <w:rsid w:val="00B2351F"/>
    <w:rPr>
      <w:rFonts w:ascii="Tahoma" w:hAnsi="Tahoma" w:cs="Tahoma"/>
      <w:sz w:val="16"/>
      <w:szCs w:val="16"/>
    </w:rPr>
  </w:style>
  <w:style w:type="paragraph" w:styleId="Header">
    <w:name w:val="header"/>
    <w:basedOn w:val="Normal"/>
    <w:link w:val="HeaderChar"/>
    <w:rsid w:val="00FE1D10"/>
    <w:pPr>
      <w:tabs>
        <w:tab w:val="center" w:pos="4320"/>
        <w:tab w:val="right" w:pos="8640"/>
      </w:tabs>
      <w:spacing w:line="240" w:lineRule="auto"/>
    </w:pPr>
  </w:style>
  <w:style w:type="character" w:customStyle="1" w:styleId="HeaderChar">
    <w:name w:val="Header Char"/>
    <w:basedOn w:val="DefaultParagraphFont"/>
    <w:link w:val="Header"/>
    <w:rsid w:val="00FE1D10"/>
    <w:rPr>
      <w:rFonts w:ascii="Times New Roman" w:eastAsia="Times New Roman" w:hAnsi="Times New Roman" w:cs="Times New Roman"/>
      <w:lang w:val="en-US" w:eastAsia="en-GB"/>
    </w:rPr>
  </w:style>
  <w:style w:type="character" w:customStyle="1" w:styleId="Heading1Char">
    <w:name w:val="Heading 1 Char"/>
    <w:basedOn w:val="DefaultParagraphFont"/>
    <w:link w:val="Heading1"/>
    <w:rsid w:val="00FE1D10"/>
    <w:rPr>
      <w:rFonts w:ascii="Times New Roman" w:eastAsia="Times New Roman" w:hAnsi="Times New Roman" w:cs="Arial"/>
      <w:b/>
      <w:bCs/>
      <w:kern w:val="32"/>
      <w:szCs w:val="32"/>
      <w:lang w:val="en-US" w:eastAsia="en-GB"/>
    </w:rPr>
  </w:style>
  <w:style w:type="character" w:customStyle="1" w:styleId="Heading2Char">
    <w:name w:val="Heading 2 Char"/>
    <w:basedOn w:val="DefaultParagraphFont"/>
    <w:link w:val="Heading2"/>
    <w:rsid w:val="00FE1D10"/>
    <w:rPr>
      <w:rFonts w:ascii="Times New Roman" w:eastAsia="Times New Roman" w:hAnsi="Times New Roman" w:cs="Arial"/>
      <w:b/>
      <w:bCs/>
      <w:i/>
      <w:iCs/>
      <w:szCs w:val="28"/>
      <w:lang w:val="en-US" w:eastAsia="en-GB"/>
    </w:rPr>
  </w:style>
  <w:style w:type="character" w:customStyle="1" w:styleId="Heading3Char">
    <w:name w:val="Heading 3 Char"/>
    <w:basedOn w:val="DefaultParagraphFont"/>
    <w:link w:val="Heading3"/>
    <w:rsid w:val="00FE1D10"/>
    <w:rPr>
      <w:rFonts w:ascii="Times New Roman" w:eastAsia="Times New Roman" w:hAnsi="Times New Roman" w:cs="Arial"/>
      <w:bCs/>
      <w:i/>
      <w:szCs w:val="26"/>
      <w:lang w:val="en-US" w:eastAsia="en-GB"/>
    </w:rPr>
  </w:style>
  <w:style w:type="character" w:customStyle="1" w:styleId="Heading4Char">
    <w:name w:val="Heading 4 Char"/>
    <w:basedOn w:val="DefaultParagraphFont"/>
    <w:link w:val="Heading4"/>
    <w:rsid w:val="00FE1D10"/>
    <w:rPr>
      <w:rFonts w:ascii="Times New Roman" w:eastAsia="Times New Roman" w:hAnsi="Times New Roman" w:cs="Times New Roman"/>
      <w:bCs/>
      <w:szCs w:val="28"/>
      <w:lang w:val="en-US" w:eastAsia="en-GB"/>
    </w:rPr>
  </w:style>
  <w:style w:type="paragraph" w:customStyle="1" w:styleId="Articletitle">
    <w:name w:val="Article title"/>
    <w:basedOn w:val="Normal"/>
    <w:next w:val="Normal"/>
    <w:qFormat/>
    <w:rsid w:val="00FE1D10"/>
    <w:pPr>
      <w:spacing w:after="120" w:line="360" w:lineRule="auto"/>
    </w:pPr>
    <w:rPr>
      <w:b/>
      <w:sz w:val="28"/>
    </w:rPr>
  </w:style>
  <w:style w:type="paragraph" w:customStyle="1" w:styleId="Authornames">
    <w:name w:val="Author names"/>
    <w:basedOn w:val="Normal"/>
    <w:next w:val="Normal"/>
    <w:qFormat/>
    <w:rsid w:val="00FE1D10"/>
    <w:pPr>
      <w:spacing w:before="240" w:line="360" w:lineRule="auto"/>
    </w:pPr>
    <w:rPr>
      <w:sz w:val="28"/>
    </w:rPr>
  </w:style>
  <w:style w:type="paragraph" w:customStyle="1" w:styleId="Affiliation">
    <w:name w:val="Affiliation"/>
    <w:basedOn w:val="Normal"/>
    <w:qFormat/>
    <w:rsid w:val="00FE1D10"/>
    <w:pPr>
      <w:spacing w:before="240" w:line="360" w:lineRule="auto"/>
    </w:pPr>
    <w:rPr>
      <w:i/>
    </w:rPr>
  </w:style>
  <w:style w:type="paragraph" w:customStyle="1" w:styleId="Receiveddates">
    <w:name w:val="Received dates"/>
    <w:basedOn w:val="Affiliation"/>
    <w:next w:val="Abstract"/>
    <w:qFormat/>
    <w:rsid w:val="00FE1D10"/>
  </w:style>
  <w:style w:type="paragraph" w:customStyle="1" w:styleId="Abstract">
    <w:name w:val="Abstract"/>
    <w:basedOn w:val="Normal"/>
    <w:next w:val="Keywords"/>
    <w:qFormat/>
    <w:rsid w:val="00FE1D10"/>
    <w:pPr>
      <w:spacing w:before="360" w:after="300" w:line="360" w:lineRule="auto"/>
      <w:ind w:left="720" w:right="567"/>
      <w:contextualSpacing/>
    </w:pPr>
    <w:rPr>
      <w:sz w:val="22"/>
    </w:rPr>
  </w:style>
  <w:style w:type="paragraph" w:customStyle="1" w:styleId="Keywords">
    <w:name w:val="Keywords"/>
    <w:basedOn w:val="Normal"/>
    <w:next w:val="Paragraph"/>
    <w:qFormat/>
    <w:rsid w:val="00FE1D10"/>
    <w:pPr>
      <w:spacing w:before="240" w:after="240" w:line="360" w:lineRule="auto"/>
      <w:ind w:left="720" w:right="567"/>
    </w:pPr>
    <w:rPr>
      <w:sz w:val="22"/>
    </w:rPr>
  </w:style>
  <w:style w:type="paragraph" w:customStyle="1" w:styleId="Correspondencedetails">
    <w:name w:val="Correspondence details"/>
    <w:basedOn w:val="Normal"/>
    <w:qFormat/>
    <w:rsid w:val="00FE1D10"/>
    <w:pPr>
      <w:spacing w:before="240" w:line="360" w:lineRule="auto"/>
    </w:pPr>
  </w:style>
  <w:style w:type="paragraph" w:customStyle="1" w:styleId="Displayedquotation">
    <w:name w:val="Displayed quotation"/>
    <w:basedOn w:val="Normal"/>
    <w:qFormat/>
    <w:rsid w:val="00FE1D1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E1D10"/>
    <w:pPr>
      <w:widowControl/>
      <w:numPr>
        <w:numId w:val="28"/>
      </w:numPr>
      <w:spacing w:after="240"/>
      <w:contextualSpacing/>
    </w:pPr>
  </w:style>
  <w:style w:type="paragraph" w:customStyle="1" w:styleId="Displayedequation">
    <w:name w:val="Displayed equation"/>
    <w:basedOn w:val="Normal"/>
    <w:next w:val="Paragraph"/>
    <w:qFormat/>
    <w:rsid w:val="00FE1D10"/>
    <w:pPr>
      <w:tabs>
        <w:tab w:val="center" w:pos="4253"/>
        <w:tab w:val="right" w:pos="8222"/>
      </w:tabs>
      <w:spacing w:before="240" w:after="240"/>
      <w:jc w:val="center"/>
    </w:pPr>
  </w:style>
  <w:style w:type="paragraph" w:customStyle="1" w:styleId="Acknowledgements">
    <w:name w:val="Acknowledgements"/>
    <w:basedOn w:val="Normal"/>
    <w:next w:val="Normal"/>
    <w:qFormat/>
    <w:rsid w:val="00FE1D10"/>
    <w:pPr>
      <w:spacing w:before="120" w:line="360" w:lineRule="auto"/>
    </w:pPr>
    <w:rPr>
      <w:sz w:val="22"/>
    </w:rPr>
  </w:style>
  <w:style w:type="paragraph" w:customStyle="1" w:styleId="Tabletitle">
    <w:name w:val="Table title"/>
    <w:basedOn w:val="Normal"/>
    <w:next w:val="Normal"/>
    <w:qFormat/>
    <w:rsid w:val="00FE1D10"/>
    <w:pPr>
      <w:spacing w:before="240" w:line="360" w:lineRule="auto"/>
    </w:pPr>
  </w:style>
  <w:style w:type="paragraph" w:customStyle="1" w:styleId="Figurecaption">
    <w:name w:val="Figure caption"/>
    <w:basedOn w:val="Normal"/>
    <w:next w:val="Normal"/>
    <w:qFormat/>
    <w:rsid w:val="00FE1D10"/>
    <w:pPr>
      <w:spacing w:before="240" w:line="360" w:lineRule="auto"/>
    </w:pPr>
  </w:style>
  <w:style w:type="paragraph" w:customStyle="1" w:styleId="Footnotes">
    <w:name w:val="Footnotes"/>
    <w:basedOn w:val="Normal"/>
    <w:qFormat/>
    <w:rsid w:val="00FE1D10"/>
    <w:pPr>
      <w:spacing w:before="120" w:line="360" w:lineRule="auto"/>
      <w:ind w:left="482" w:hanging="482"/>
      <w:contextualSpacing/>
    </w:pPr>
    <w:rPr>
      <w:sz w:val="22"/>
    </w:rPr>
  </w:style>
  <w:style w:type="paragraph" w:customStyle="1" w:styleId="Notesoncontributors">
    <w:name w:val="Notes on contributors"/>
    <w:basedOn w:val="Normal"/>
    <w:qFormat/>
    <w:rsid w:val="00FE1D10"/>
    <w:pPr>
      <w:spacing w:before="240" w:line="360" w:lineRule="auto"/>
    </w:pPr>
    <w:rPr>
      <w:sz w:val="22"/>
    </w:rPr>
  </w:style>
  <w:style w:type="paragraph" w:customStyle="1" w:styleId="Normalparagraphstyle">
    <w:name w:val="Normal paragraph style"/>
    <w:basedOn w:val="Normal"/>
    <w:next w:val="Normal"/>
    <w:rsid w:val="00FE1D10"/>
  </w:style>
  <w:style w:type="paragraph" w:customStyle="1" w:styleId="Paragraph">
    <w:name w:val="Paragraph"/>
    <w:basedOn w:val="Normal"/>
    <w:next w:val="Newparagraph"/>
    <w:qFormat/>
    <w:rsid w:val="00FE1D10"/>
    <w:pPr>
      <w:widowControl w:val="0"/>
      <w:spacing w:before="240"/>
    </w:pPr>
  </w:style>
  <w:style w:type="paragraph" w:customStyle="1" w:styleId="Newparagraph">
    <w:name w:val="New paragraph"/>
    <w:basedOn w:val="Normal"/>
    <w:qFormat/>
    <w:rsid w:val="00FE1D10"/>
    <w:pPr>
      <w:ind w:firstLine="720"/>
    </w:pPr>
  </w:style>
  <w:style w:type="paragraph" w:styleId="NormalIndent">
    <w:name w:val="Normal Indent"/>
    <w:basedOn w:val="Normal"/>
    <w:rsid w:val="00FE1D10"/>
    <w:pPr>
      <w:ind w:left="720"/>
    </w:pPr>
  </w:style>
  <w:style w:type="paragraph" w:customStyle="1" w:styleId="References">
    <w:name w:val="References"/>
    <w:basedOn w:val="Normal"/>
    <w:qFormat/>
    <w:rsid w:val="00FE1D10"/>
    <w:pPr>
      <w:spacing w:before="120" w:line="360" w:lineRule="auto"/>
      <w:ind w:left="720" w:hanging="720"/>
      <w:contextualSpacing/>
    </w:pPr>
  </w:style>
  <w:style w:type="paragraph" w:customStyle="1" w:styleId="Subjectcodes">
    <w:name w:val="Subject codes"/>
    <w:basedOn w:val="Keywords"/>
    <w:next w:val="Paragraph"/>
    <w:qFormat/>
    <w:rsid w:val="00FE1D10"/>
  </w:style>
  <w:style w:type="paragraph" w:customStyle="1" w:styleId="Bulletedlist">
    <w:name w:val="Bulleted list"/>
    <w:basedOn w:val="Paragraph"/>
    <w:next w:val="Paragraph"/>
    <w:qFormat/>
    <w:rsid w:val="00FE1D10"/>
    <w:pPr>
      <w:widowControl/>
      <w:numPr>
        <w:numId w:val="29"/>
      </w:numPr>
      <w:spacing w:after="240"/>
      <w:contextualSpacing/>
    </w:pPr>
  </w:style>
  <w:style w:type="character" w:styleId="EndnoteReference">
    <w:name w:val="endnote reference"/>
    <w:basedOn w:val="DefaultParagraphFont"/>
    <w:rsid w:val="00FE1D10"/>
    <w:rPr>
      <w:vertAlign w:val="superscript"/>
    </w:rPr>
  </w:style>
  <w:style w:type="paragraph" w:customStyle="1" w:styleId="Heading4Paragraph">
    <w:name w:val="Heading 4 + Paragraph"/>
    <w:basedOn w:val="Paragraph"/>
    <w:next w:val="Newparagraph"/>
    <w:qFormat/>
    <w:rsid w:val="00FE1D10"/>
    <w:pPr>
      <w:widowControl/>
      <w:spacing w:before="360"/>
    </w:pPr>
  </w:style>
  <w:style w:type="character" w:styleId="UnresolvedMention">
    <w:name w:val="Unresolved Mention"/>
    <w:basedOn w:val="DefaultParagraphFont"/>
    <w:uiPriority w:val="99"/>
    <w:semiHidden/>
    <w:unhideWhenUsed/>
    <w:rsid w:val="00B1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5804">
      <w:bodyDiv w:val="1"/>
      <w:marLeft w:val="0"/>
      <w:marRight w:val="0"/>
      <w:marTop w:val="0"/>
      <w:marBottom w:val="0"/>
      <w:divBdr>
        <w:top w:val="none" w:sz="0" w:space="0" w:color="auto"/>
        <w:left w:val="none" w:sz="0" w:space="0" w:color="auto"/>
        <w:bottom w:val="none" w:sz="0" w:space="0" w:color="auto"/>
        <w:right w:val="none" w:sz="0" w:space="0" w:color="auto"/>
      </w:divBdr>
    </w:div>
    <w:div w:id="48959991">
      <w:bodyDiv w:val="1"/>
      <w:marLeft w:val="0"/>
      <w:marRight w:val="0"/>
      <w:marTop w:val="0"/>
      <w:marBottom w:val="0"/>
      <w:divBdr>
        <w:top w:val="none" w:sz="0" w:space="0" w:color="auto"/>
        <w:left w:val="none" w:sz="0" w:space="0" w:color="auto"/>
        <w:bottom w:val="none" w:sz="0" w:space="0" w:color="auto"/>
        <w:right w:val="none" w:sz="0" w:space="0" w:color="auto"/>
      </w:divBdr>
      <w:divsChild>
        <w:div w:id="1172992001">
          <w:marLeft w:val="0"/>
          <w:marRight w:val="0"/>
          <w:marTop w:val="0"/>
          <w:marBottom w:val="0"/>
          <w:divBdr>
            <w:top w:val="none" w:sz="0" w:space="0" w:color="auto"/>
            <w:left w:val="none" w:sz="0" w:space="0" w:color="auto"/>
            <w:bottom w:val="none" w:sz="0" w:space="0" w:color="auto"/>
            <w:right w:val="none" w:sz="0" w:space="0" w:color="auto"/>
          </w:divBdr>
          <w:divsChild>
            <w:div w:id="242419904">
              <w:marLeft w:val="0"/>
              <w:marRight w:val="0"/>
              <w:marTop w:val="0"/>
              <w:marBottom w:val="0"/>
              <w:divBdr>
                <w:top w:val="none" w:sz="0" w:space="0" w:color="auto"/>
                <w:left w:val="none" w:sz="0" w:space="0" w:color="auto"/>
                <w:bottom w:val="none" w:sz="0" w:space="0" w:color="auto"/>
                <w:right w:val="none" w:sz="0" w:space="0" w:color="auto"/>
              </w:divBdr>
              <w:divsChild>
                <w:div w:id="523403210">
                  <w:marLeft w:val="0"/>
                  <w:marRight w:val="0"/>
                  <w:marTop w:val="0"/>
                  <w:marBottom w:val="0"/>
                  <w:divBdr>
                    <w:top w:val="none" w:sz="0" w:space="0" w:color="auto"/>
                    <w:left w:val="none" w:sz="0" w:space="0" w:color="auto"/>
                    <w:bottom w:val="none" w:sz="0" w:space="0" w:color="auto"/>
                    <w:right w:val="none" w:sz="0" w:space="0" w:color="auto"/>
                  </w:divBdr>
                  <w:divsChild>
                    <w:div w:id="1094671791">
                      <w:marLeft w:val="0"/>
                      <w:marRight w:val="0"/>
                      <w:marTop w:val="0"/>
                      <w:marBottom w:val="0"/>
                      <w:divBdr>
                        <w:top w:val="none" w:sz="0" w:space="0" w:color="auto"/>
                        <w:left w:val="none" w:sz="0" w:space="0" w:color="auto"/>
                        <w:bottom w:val="none" w:sz="0" w:space="0" w:color="auto"/>
                        <w:right w:val="none" w:sz="0" w:space="0" w:color="auto"/>
                      </w:divBdr>
                      <w:divsChild>
                        <w:div w:id="1411730599">
                          <w:marLeft w:val="0"/>
                          <w:marRight w:val="0"/>
                          <w:marTop w:val="0"/>
                          <w:marBottom w:val="0"/>
                          <w:divBdr>
                            <w:top w:val="none" w:sz="0" w:space="0" w:color="auto"/>
                            <w:left w:val="none" w:sz="0" w:space="0" w:color="auto"/>
                            <w:bottom w:val="none" w:sz="0" w:space="0" w:color="auto"/>
                            <w:right w:val="none" w:sz="0" w:space="0" w:color="auto"/>
                          </w:divBdr>
                          <w:divsChild>
                            <w:div w:id="5669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6543">
      <w:bodyDiv w:val="1"/>
      <w:marLeft w:val="0"/>
      <w:marRight w:val="0"/>
      <w:marTop w:val="0"/>
      <w:marBottom w:val="0"/>
      <w:divBdr>
        <w:top w:val="none" w:sz="0" w:space="0" w:color="auto"/>
        <w:left w:val="none" w:sz="0" w:space="0" w:color="auto"/>
        <w:bottom w:val="none" w:sz="0" w:space="0" w:color="auto"/>
        <w:right w:val="none" w:sz="0" w:space="0" w:color="auto"/>
      </w:divBdr>
    </w:div>
    <w:div w:id="145319555">
      <w:bodyDiv w:val="1"/>
      <w:marLeft w:val="0"/>
      <w:marRight w:val="0"/>
      <w:marTop w:val="0"/>
      <w:marBottom w:val="0"/>
      <w:divBdr>
        <w:top w:val="none" w:sz="0" w:space="0" w:color="auto"/>
        <w:left w:val="none" w:sz="0" w:space="0" w:color="auto"/>
        <w:bottom w:val="none" w:sz="0" w:space="0" w:color="auto"/>
        <w:right w:val="none" w:sz="0" w:space="0" w:color="auto"/>
      </w:divBdr>
    </w:div>
    <w:div w:id="167644105">
      <w:bodyDiv w:val="1"/>
      <w:marLeft w:val="0"/>
      <w:marRight w:val="0"/>
      <w:marTop w:val="0"/>
      <w:marBottom w:val="0"/>
      <w:divBdr>
        <w:top w:val="none" w:sz="0" w:space="0" w:color="auto"/>
        <w:left w:val="none" w:sz="0" w:space="0" w:color="auto"/>
        <w:bottom w:val="none" w:sz="0" w:space="0" w:color="auto"/>
        <w:right w:val="none" w:sz="0" w:space="0" w:color="auto"/>
      </w:divBdr>
    </w:div>
    <w:div w:id="237330147">
      <w:bodyDiv w:val="1"/>
      <w:marLeft w:val="0"/>
      <w:marRight w:val="0"/>
      <w:marTop w:val="0"/>
      <w:marBottom w:val="0"/>
      <w:divBdr>
        <w:top w:val="none" w:sz="0" w:space="0" w:color="auto"/>
        <w:left w:val="none" w:sz="0" w:space="0" w:color="auto"/>
        <w:bottom w:val="none" w:sz="0" w:space="0" w:color="auto"/>
        <w:right w:val="none" w:sz="0" w:space="0" w:color="auto"/>
      </w:divBdr>
    </w:div>
    <w:div w:id="241183498">
      <w:bodyDiv w:val="1"/>
      <w:marLeft w:val="0"/>
      <w:marRight w:val="0"/>
      <w:marTop w:val="0"/>
      <w:marBottom w:val="0"/>
      <w:divBdr>
        <w:top w:val="none" w:sz="0" w:space="0" w:color="auto"/>
        <w:left w:val="none" w:sz="0" w:space="0" w:color="auto"/>
        <w:bottom w:val="none" w:sz="0" w:space="0" w:color="auto"/>
        <w:right w:val="none" w:sz="0" w:space="0" w:color="auto"/>
      </w:divBdr>
    </w:div>
    <w:div w:id="267541467">
      <w:bodyDiv w:val="1"/>
      <w:marLeft w:val="0"/>
      <w:marRight w:val="0"/>
      <w:marTop w:val="0"/>
      <w:marBottom w:val="0"/>
      <w:divBdr>
        <w:top w:val="none" w:sz="0" w:space="0" w:color="auto"/>
        <w:left w:val="none" w:sz="0" w:space="0" w:color="auto"/>
        <w:bottom w:val="none" w:sz="0" w:space="0" w:color="auto"/>
        <w:right w:val="none" w:sz="0" w:space="0" w:color="auto"/>
      </w:divBdr>
    </w:div>
    <w:div w:id="295184926">
      <w:bodyDiv w:val="1"/>
      <w:marLeft w:val="0"/>
      <w:marRight w:val="0"/>
      <w:marTop w:val="0"/>
      <w:marBottom w:val="0"/>
      <w:divBdr>
        <w:top w:val="none" w:sz="0" w:space="0" w:color="auto"/>
        <w:left w:val="none" w:sz="0" w:space="0" w:color="auto"/>
        <w:bottom w:val="none" w:sz="0" w:space="0" w:color="auto"/>
        <w:right w:val="none" w:sz="0" w:space="0" w:color="auto"/>
      </w:divBdr>
    </w:div>
    <w:div w:id="296182156">
      <w:bodyDiv w:val="1"/>
      <w:marLeft w:val="0"/>
      <w:marRight w:val="0"/>
      <w:marTop w:val="0"/>
      <w:marBottom w:val="0"/>
      <w:divBdr>
        <w:top w:val="none" w:sz="0" w:space="0" w:color="auto"/>
        <w:left w:val="none" w:sz="0" w:space="0" w:color="auto"/>
        <w:bottom w:val="none" w:sz="0" w:space="0" w:color="auto"/>
        <w:right w:val="none" w:sz="0" w:space="0" w:color="auto"/>
      </w:divBdr>
    </w:div>
    <w:div w:id="319235557">
      <w:bodyDiv w:val="1"/>
      <w:marLeft w:val="0"/>
      <w:marRight w:val="0"/>
      <w:marTop w:val="0"/>
      <w:marBottom w:val="0"/>
      <w:divBdr>
        <w:top w:val="none" w:sz="0" w:space="0" w:color="auto"/>
        <w:left w:val="none" w:sz="0" w:space="0" w:color="auto"/>
        <w:bottom w:val="none" w:sz="0" w:space="0" w:color="auto"/>
        <w:right w:val="none" w:sz="0" w:space="0" w:color="auto"/>
      </w:divBdr>
    </w:div>
    <w:div w:id="417214626">
      <w:bodyDiv w:val="1"/>
      <w:marLeft w:val="0"/>
      <w:marRight w:val="0"/>
      <w:marTop w:val="0"/>
      <w:marBottom w:val="0"/>
      <w:divBdr>
        <w:top w:val="none" w:sz="0" w:space="0" w:color="auto"/>
        <w:left w:val="none" w:sz="0" w:space="0" w:color="auto"/>
        <w:bottom w:val="none" w:sz="0" w:space="0" w:color="auto"/>
        <w:right w:val="none" w:sz="0" w:space="0" w:color="auto"/>
      </w:divBdr>
    </w:div>
    <w:div w:id="463548651">
      <w:bodyDiv w:val="1"/>
      <w:marLeft w:val="0"/>
      <w:marRight w:val="0"/>
      <w:marTop w:val="0"/>
      <w:marBottom w:val="0"/>
      <w:divBdr>
        <w:top w:val="none" w:sz="0" w:space="0" w:color="auto"/>
        <w:left w:val="none" w:sz="0" w:space="0" w:color="auto"/>
        <w:bottom w:val="none" w:sz="0" w:space="0" w:color="auto"/>
        <w:right w:val="none" w:sz="0" w:space="0" w:color="auto"/>
      </w:divBdr>
    </w:div>
    <w:div w:id="493453166">
      <w:bodyDiv w:val="1"/>
      <w:marLeft w:val="0"/>
      <w:marRight w:val="0"/>
      <w:marTop w:val="0"/>
      <w:marBottom w:val="0"/>
      <w:divBdr>
        <w:top w:val="none" w:sz="0" w:space="0" w:color="auto"/>
        <w:left w:val="none" w:sz="0" w:space="0" w:color="auto"/>
        <w:bottom w:val="none" w:sz="0" w:space="0" w:color="auto"/>
        <w:right w:val="none" w:sz="0" w:space="0" w:color="auto"/>
      </w:divBdr>
    </w:div>
    <w:div w:id="504630762">
      <w:bodyDiv w:val="1"/>
      <w:marLeft w:val="0"/>
      <w:marRight w:val="0"/>
      <w:marTop w:val="0"/>
      <w:marBottom w:val="0"/>
      <w:divBdr>
        <w:top w:val="none" w:sz="0" w:space="0" w:color="auto"/>
        <w:left w:val="none" w:sz="0" w:space="0" w:color="auto"/>
        <w:bottom w:val="none" w:sz="0" w:space="0" w:color="auto"/>
        <w:right w:val="none" w:sz="0" w:space="0" w:color="auto"/>
      </w:divBdr>
    </w:div>
    <w:div w:id="524906467">
      <w:bodyDiv w:val="1"/>
      <w:marLeft w:val="0"/>
      <w:marRight w:val="0"/>
      <w:marTop w:val="0"/>
      <w:marBottom w:val="0"/>
      <w:divBdr>
        <w:top w:val="none" w:sz="0" w:space="0" w:color="auto"/>
        <w:left w:val="none" w:sz="0" w:space="0" w:color="auto"/>
        <w:bottom w:val="none" w:sz="0" w:space="0" w:color="auto"/>
        <w:right w:val="none" w:sz="0" w:space="0" w:color="auto"/>
      </w:divBdr>
    </w:div>
    <w:div w:id="559749680">
      <w:bodyDiv w:val="1"/>
      <w:marLeft w:val="0"/>
      <w:marRight w:val="0"/>
      <w:marTop w:val="0"/>
      <w:marBottom w:val="0"/>
      <w:divBdr>
        <w:top w:val="none" w:sz="0" w:space="0" w:color="auto"/>
        <w:left w:val="none" w:sz="0" w:space="0" w:color="auto"/>
        <w:bottom w:val="none" w:sz="0" w:space="0" w:color="auto"/>
        <w:right w:val="none" w:sz="0" w:space="0" w:color="auto"/>
      </w:divBdr>
    </w:div>
    <w:div w:id="618217984">
      <w:bodyDiv w:val="1"/>
      <w:marLeft w:val="0"/>
      <w:marRight w:val="0"/>
      <w:marTop w:val="0"/>
      <w:marBottom w:val="0"/>
      <w:divBdr>
        <w:top w:val="none" w:sz="0" w:space="0" w:color="auto"/>
        <w:left w:val="none" w:sz="0" w:space="0" w:color="auto"/>
        <w:bottom w:val="none" w:sz="0" w:space="0" w:color="auto"/>
        <w:right w:val="none" w:sz="0" w:space="0" w:color="auto"/>
      </w:divBdr>
    </w:div>
    <w:div w:id="631134946">
      <w:bodyDiv w:val="1"/>
      <w:marLeft w:val="0"/>
      <w:marRight w:val="0"/>
      <w:marTop w:val="0"/>
      <w:marBottom w:val="0"/>
      <w:divBdr>
        <w:top w:val="none" w:sz="0" w:space="0" w:color="auto"/>
        <w:left w:val="none" w:sz="0" w:space="0" w:color="auto"/>
        <w:bottom w:val="none" w:sz="0" w:space="0" w:color="auto"/>
        <w:right w:val="none" w:sz="0" w:space="0" w:color="auto"/>
      </w:divBdr>
    </w:div>
    <w:div w:id="634338847">
      <w:bodyDiv w:val="1"/>
      <w:marLeft w:val="0"/>
      <w:marRight w:val="0"/>
      <w:marTop w:val="0"/>
      <w:marBottom w:val="0"/>
      <w:divBdr>
        <w:top w:val="none" w:sz="0" w:space="0" w:color="auto"/>
        <w:left w:val="none" w:sz="0" w:space="0" w:color="auto"/>
        <w:bottom w:val="none" w:sz="0" w:space="0" w:color="auto"/>
        <w:right w:val="none" w:sz="0" w:space="0" w:color="auto"/>
      </w:divBdr>
    </w:div>
    <w:div w:id="646865173">
      <w:bodyDiv w:val="1"/>
      <w:marLeft w:val="0"/>
      <w:marRight w:val="0"/>
      <w:marTop w:val="0"/>
      <w:marBottom w:val="0"/>
      <w:divBdr>
        <w:top w:val="none" w:sz="0" w:space="0" w:color="auto"/>
        <w:left w:val="none" w:sz="0" w:space="0" w:color="auto"/>
        <w:bottom w:val="none" w:sz="0" w:space="0" w:color="auto"/>
        <w:right w:val="none" w:sz="0" w:space="0" w:color="auto"/>
      </w:divBdr>
    </w:div>
    <w:div w:id="651713697">
      <w:bodyDiv w:val="1"/>
      <w:marLeft w:val="0"/>
      <w:marRight w:val="0"/>
      <w:marTop w:val="0"/>
      <w:marBottom w:val="0"/>
      <w:divBdr>
        <w:top w:val="none" w:sz="0" w:space="0" w:color="auto"/>
        <w:left w:val="none" w:sz="0" w:space="0" w:color="auto"/>
        <w:bottom w:val="none" w:sz="0" w:space="0" w:color="auto"/>
        <w:right w:val="none" w:sz="0" w:space="0" w:color="auto"/>
      </w:divBdr>
    </w:div>
    <w:div w:id="662973121">
      <w:bodyDiv w:val="1"/>
      <w:marLeft w:val="0"/>
      <w:marRight w:val="0"/>
      <w:marTop w:val="0"/>
      <w:marBottom w:val="0"/>
      <w:divBdr>
        <w:top w:val="none" w:sz="0" w:space="0" w:color="auto"/>
        <w:left w:val="none" w:sz="0" w:space="0" w:color="auto"/>
        <w:bottom w:val="none" w:sz="0" w:space="0" w:color="auto"/>
        <w:right w:val="none" w:sz="0" w:space="0" w:color="auto"/>
      </w:divBdr>
    </w:div>
    <w:div w:id="666329610">
      <w:bodyDiv w:val="1"/>
      <w:marLeft w:val="0"/>
      <w:marRight w:val="0"/>
      <w:marTop w:val="0"/>
      <w:marBottom w:val="0"/>
      <w:divBdr>
        <w:top w:val="none" w:sz="0" w:space="0" w:color="auto"/>
        <w:left w:val="none" w:sz="0" w:space="0" w:color="auto"/>
        <w:bottom w:val="none" w:sz="0" w:space="0" w:color="auto"/>
        <w:right w:val="none" w:sz="0" w:space="0" w:color="auto"/>
      </w:divBdr>
    </w:div>
    <w:div w:id="672029729">
      <w:bodyDiv w:val="1"/>
      <w:marLeft w:val="0"/>
      <w:marRight w:val="0"/>
      <w:marTop w:val="0"/>
      <w:marBottom w:val="0"/>
      <w:divBdr>
        <w:top w:val="none" w:sz="0" w:space="0" w:color="auto"/>
        <w:left w:val="none" w:sz="0" w:space="0" w:color="auto"/>
        <w:bottom w:val="none" w:sz="0" w:space="0" w:color="auto"/>
        <w:right w:val="none" w:sz="0" w:space="0" w:color="auto"/>
      </w:divBdr>
    </w:div>
    <w:div w:id="680819508">
      <w:bodyDiv w:val="1"/>
      <w:marLeft w:val="0"/>
      <w:marRight w:val="0"/>
      <w:marTop w:val="0"/>
      <w:marBottom w:val="0"/>
      <w:divBdr>
        <w:top w:val="none" w:sz="0" w:space="0" w:color="auto"/>
        <w:left w:val="none" w:sz="0" w:space="0" w:color="auto"/>
        <w:bottom w:val="none" w:sz="0" w:space="0" w:color="auto"/>
        <w:right w:val="none" w:sz="0" w:space="0" w:color="auto"/>
      </w:divBdr>
    </w:div>
    <w:div w:id="688986681">
      <w:bodyDiv w:val="1"/>
      <w:marLeft w:val="0"/>
      <w:marRight w:val="0"/>
      <w:marTop w:val="0"/>
      <w:marBottom w:val="0"/>
      <w:divBdr>
        <w:top w:val="none" w:sz="0" w:space="0" w:color="auto"/>
        <w:left w:val="none" w:sz="0" w:space="0" w:color="auto"/>
        <w:bottom w:val="none" w:sz="0" w:space="0" w:color="auto"/>
        <w:right w:val="none" w:sz="0" w:space="0" w:color="auto"/>
      </w:divBdr>
    </w:div>
    <w:div w:id="737821987">
      <w:bodyDiv w:val="1"/>
      <w:marLeft w:val="0"/>
      <w:marRight w:val="0"/>
      <w:marTop w:val="0"/>
      <w:marBottom w:val="0"/>
      <w:divBdr>
        <w:top w:val="none" w:sz="0" w:space="0" w:color="auto"/>
        <w:left w:val="none" w:sz="0" w:space="0" w:color="auto"/>
        <w:bottom w:val="none" w:sz="0" w:space="0" w:color="auto"/>
        <w:right w:val="none" w:sz="0" w:space="0" w:color="auto"/>
      </w:divBdr>
    </w:div>
    <w:div w:id="742602206">
      <w:bodyDiv w:val="1"/>
      <w:marLeft w:val="0"/>
      <w:marRight w:val="0"/>
      <w:marTop w:val="0"/>
      <w:marBottom w:val="0"/>
      <w:divBdr>
        <w:top w:val="none" w:sz="0" w:space="0" w:color="auto"/>
        <w:left w:val="none" w:sz="0" w:space="0" w:color="auto"/>
        <w:bottom w:val="none" w:sz="0" w:space="0" w:color="auto"/>
        <w:right w:val="none" w:sz="0" w:space="0" w:color="auto"/>
      </w:divBdr>
    </w:div>
    <w:div w:id="784617017">
      <w:bodyDiv w:val="1"/>
      <w:marLeft w:val="0"/>
      <w:marRight w:val="0"/>
      <w:marTop w:val="0"/>
      <w:marBottom w:val="0"/>
      <w:divBdr>
        <w:top w:val="none" w:sz="0" w:space="0" w:color="auto"/>
        <w:left w:val="none" w:sz="0" w:space="0" w:color="auto"/>
        <w:bottom w:val="none" w:sz="0" w:space="0" w:color="auto"/>
        <w:right w:val="none" w:sz="0" w:space="0" w:color="auto"/>
      </w:divBdr>
    </w:div>
    <w:div w:id="826291021">
      <w:bodyDiv w:val="1"/>
      <w:marLeft w:val="0"/>
      <w:marRight w:val="0"/>
      <w:marTop w:val="0"/>
      <w:marBottom w:val="0"/>
      <w:divBdr>
        <w:top w:val="none" w:sz="0" w:space="0" w:color="auto"/>
        <w:left w:val="none" w:sz="0" w:space="0" w:color="auto"/>
        <w:bottom w:val="none" w:sz="0" w:space="0" w:color="auto"/>
        <w:right w:val="none" w:sz="0" w:space="0" w:color="auto"/>
      </w:divBdr>
    </w:div>
    <w:div w:id="841973732">
      <w:bodyDiv w:val="1"/>
      <w:marLeft w:val="0"/>
      <w:marRight w:val="0"/>
      <w:marTop w:val="0"/>
      <w:marBottom w:val="0"/>
      <w:divBdr>
        <w:top w:val="none" w:sz="0" w:space="0" w:color="auto"/>
        <w:left w:val="none" w:sz="0" w:space="0" w:color="auto"/>
        <w:bottom w:val="none" w:sz="0" w:space="0" w:color="auto"/>
        <w:right w:val="none" w:sz="0" w:space="0" w:color="auto"/>
      </w:divBdr>
    </w:div>
    <w:div w:id="842353473">
      <w:bodyDiv w:val="1"/>
      <w:marLeft w:val="0"/>
      <w:marRight w:val="0"/>
      <w:marTop w:val="0"/>
      <w:marBottom w:val="0"/>
      <w:divBdr>
        <w:top w:val="none" w:sz="0" w:space="0" w:color="auto"/>
        <w:left w:val="none" w:sz="0" w:space="0" w:color="auto"/>
        <w:bottom w:val="none" w:sz="0" w:space="0" w:color="auto"/>
        <w:right w:val="none" w:sz="0" w:space="0" w:color="auto"/>
      </w:divBdr>
    </w:div>
    <w:div w:id="867832693">
      <w:bodyDiv w:val="1"/>
      <w:marLeft w:val="0"/>
      <w:marRight w:val="0"/>
      <w:marTop w:val="0"/>
      <w:marBottom w:val="0"/>
      <w:divBdr>
        <w:top w:val="none" w:sz="0" w:space="0" w:color="auto"/>
        <w:left w:val="none" w:sz="0" w:space="0" w:color="auto"/>
        <w:bottom w:val="none" w:sz="0" w:space="0" w:color="auto"/>
        <w:right w:val="none" w:sz="0" w:space="0" w:color="auto"/>
      </w:divBdr>
    </w:div>
    <w:div w:id="898905881">
      <w:bodyDiv w:val="1"/>
      <w:marLeft w:val="0"/>
      <w:marRight w:val="0"/>
      <w:marTop w:val="0"/>
      <w:marBottom w:val="0"/>
      <w:divBdr>
        <w:top w:val="none" w:sz="0" w:space="0" w:color="auto"/>
        <w:left w:val="none" w:sz="0" w:space="0" w:color="auto"/>
        <w:bottom w:val="none" w:sz="0" w:space="0" w:color="auto"/>
        <w:right w:val="none" w:sz="0" w:space="0" w:color="auto"/>
      </w:divBdr>
    </w:div>
    <w:div w:id="929042666">
      <w:bodyDiv w:val="1"/>
      <w:marLeft w:val="0"/>
      <w:marRight w:val="0"/>
      <w:marTop w:val="0"/>
      <w:marBottom w:val="0"/>
      <w:divBdr>
        <w:top w:val="none" w:sz="0" w:space="0" w:color="auto"/>
        <w:left w:val="none" w:sz="0" w:space="0" w:color="auto"/>
        <w:bottom w:val="none" w:sz="0" w:space="0" w:color="auto"/>
        <w:right w:val="none" w:sz="0" w:space="0" w:color="auto"/>
      </w:divBdr>
    </w:div>
    <w:div w:id="943461679">
      <w:bodyDiv w:val="1"/>
      <w:marLeft w:val="0"/>
      <w:marRight w:val="0"/>
      <w:marTop w:val="0"/>
      <w:marBottom w:val="0"/>
      <w:divBdr>
        <w:top w:val="none" w:sz="0" w:space="0" w:color="auto"/>
        <w:left w:val="none" w:sz="0" w:space="0" w:color="auto"/>
        <w:bottom w:val="none" w:sz="0" w:space="0" w:color="auto"/>
        <w:right w:val="none" w:sz="0" w:space="0" w:color="auto"/>
      </w:divBdr>
    </w:div>
    <w:div w:id="975644987">
      <w:bodyDiv w:val="1"/>
      <w:marLeft w:val="0"/>
      <w:marRight w:val="0"/>
      <w:marTop w:val="0"/>
      <w:marBottom w:val="0"/>
      <w:divBdr>
        <w:top w:val="none" w:sz="0" w:space="0" w:color="auto"/>
        <w:left w:val="none" w:sz="0" w:space="0" w:color="auto"/>
        <w:bottom w:val="none" w:sz="0" w:space="0" w:color="auto"/>
        <w:right w:val="none" w:sz="0" w:space="0" w:color="auto"/>
      </w:divBdr>
    </w:div>
    <w:div w:id="998272750">
      <w:bodyDiv w:val="1"/>
      <w:marLeft w:val="0"/>
      <w:marRight w:val="0"/>
      <w:marTop w:val="0"/>
      <w:marBottom w:val="0"/>
      <w:divBdr>
        <w:top w:val="none" w:sz="0" w:space="0" w:color="auto"/>
        <w:left w:val="none" w:sz="0" w:space="0" w:color="auto"/>
        <w:bottom w:val="none" w:sz="0" w:space="0" w:color="auto"/>
        <w:right w:val="none" w:sz="0" w:space="0" w:color="auto"/>
      </w:divBdr>
    </w:div>
    <w:div w:id="1009209927">
      <w:bodyDiv w:val="1"/>
      <w:marLeft w:val="0"/>
      <w:marRight w:val="0"/>
      <w:marTop w:val="0"/>
      <w:marBottom w:val="0"/>
      <w:divBdr>
        <w:top w:val="none" w:sz="0" w:space="0" w:color="auto"/>
        <w:left w:val="none" w:sz="0" w:space="0" w:color="auto"/>
        <w:bottom w:val="none" w:sz="0" w:space="0" w:color="auto"/>
        <w:right w:val="none" w:sz="0" w:space="0" w:color="auto"/>
      </w:divBdr>
    </w:div>
    <w:div w:id="1022052956">
      <w:bodyDiv w:val="1"/>
      <w:marLeft w:val="0"/>
      <w:marRight w:val="0"/>
      <w:marTop w:val="0"/>
      <w:marBottom w:val="0"/>
      <w:divBdr>
        <w:top w:val="none" w:sz="0" w:space="0" w:color="auto"/>
        <w:left w:val="none" w:sz="0" w:space="0" w:color="auto"/>
        <w:bottom w:val="none" w:sz="0" w:space="0" w:color="auto"/>
        <w:right w:val="none" w:sz="0" w:space="0" w:color="auto"/>
      </w:divBdr>
    </w:div>
    <w:div w:id="1023245700">
      <w:bodyDiv w:val="1"/>
      <w:marLeft w:val="0"/>
      <w:marRight w:val="0"/>
      <w:marTop w:val="0"/>
      <w:marBottom w:val="0"/>
      <w:divBdr>
        <w:top w:val="none" w:sz="0" w:space="0" w:color="auto"/>
        <w:left w:val="none" w:sz="0" w:space="0" w:color="auto"/>
        <w:bottom w:val="none" w:sz="0" w:space="0" w:color="auto"/>
        <w:right w:val="none" w:sz="0" w:space="0" w:color="auto"/>
      </w:divBdr>
    </w:div>
    <w:div w:id="1068456271">
      <w:bodyDiv w:val="1"/>
      <w:marLeft w:val="0"/>
      <w:marRight w:val="0"/>
      <w:marTop w:val="0"/>
      <w:marBottom w:val="0"/>
      <w:divBdr>
        <w:top w:val="none" w:sz="0" w:space="0" w:color="auto"/>
        <w:left w:val="none" w:sz="0" w:space="0" w:color="auto"/>
        <w:bottom w:val="none" w:sz="0" w:space="0" w:color="auto"/>
        <w:right w:val="none" w:sz="0" w:space="0" w:color="auto"/>
      </w:divBdr>
    </w:div>
    <w:div w:id="1099254732">
      <w:bodyDiv w:val="1"/>
      <w:marLeft w:val="0"/>
      <w:marRight w:val="0"/>
      <w:marTop w:val="0"/>
      <w:marBottom w:val="0"/>
      <w:divBdr>
        <w:top w:val="none" w:sz="0" w:space="0" w:color="auto"/>
        <w:left w:val="none" w:sz="0" w:space="0" w:color="auto"/>
        <w:bottom w:val="none" w:sz="0" w:space="0" w:color="auto"/>
        <w:right w:val="none" w:sz="0" w:space="0" w:color="auto"/>
      </w:divBdr>
    </w:div>
    <w:div w:id="1119107317">
      <w:bodyDiv w:val="1"/>
      <w:marLeft w:val="0"/>
      <w:marRight w:val="0"/>
      <w:marTop w:val="0"/>
      <w:marBottom w:val="0"/>
      <w:divBdr>
        <w:top w:val="none" w:sz="0" w:space="0" w:color="auto"/>
        <w:left w:val="none" w:sz="0" w:space="0" w:color="auto"/>
        <w:bottom w:val="none" w:sz="0" w:space="0" w:color="auto"/>
        <w:right w:val="none" w:sz="0" w:space="0" w:color="auto"/>
      </w:divBdr>
    </w:div>
    <w:div w:id="1145851413">
      <w:bodyDiv w:val="1"/>
      <w:marLeft w:val="0"/>
      <w:marRight w:val="0"/>
      <w:marTop w:val="0"/>
      <w:marBottom w:val="0"/>
      <w:divBdr>
        <w:top w:val="none" w:sz="0" w:space="0" w:color="auto"/>
        <w:left w:val="none" w:sz="0" w:space="0" w:color="auto"/>
        <w:bottom w:val="none" w:sz="0" w:space="0" w:color="auto"/>
        <w:right w:val="none" w:sz="0" w:space="0" w:color="auto"/>
      </w:divBdr>
    </w:div>
    <w:div w:id="1184593612">
      <w:bodyDiv w:val="1"/>
      <w:marLeft w:val="0"/>
      <w:marRight w:val="0"/>
      <w:marTop w:val="0"/>
      <w:marBottom w:val="0"/>
      <w:divBdr>
        <w:top w:val="none" w:sz="0" w:space="0" w:color="auto"/>
        <w:left w:val="none" w:sz="0" w:space="0" w:color="auto"/>
        <w:bottom w:val="none" w:sz="0" w:space="0" w:color="auto"/>
        <w:right w:val="none" w:sz="0" w:space="0" w:color="auto"/>
      </w:divBdr>
    </w:div>
    <w:div w:id="1187135976">
      <w:bodyDiv w:val="1"/>
      <w:marLeft w:val="0"/>
      <w:marRight w:val="0"/>
      <w:marTop w:val="0"/>
      <w:marBottom w:val="0"/>
      <w:divBdr>
        <w:top w:val="none" w:sz="0" w:space="0" w:color="auto"/>
        <w:left w:val="none" w:sz="0" w:space="0" w:color="auto"/>
        <w:bottom w:val="none" w:sz="0" w:space="0" w:color="auto"/>
        <w:right w:val="none" w:sz="0" w:space="0" w:color="auto"/>
      </w:divBdr>
    </w:div>
    <w:div w:id="1249655153">
      <w:bodyDiv w:val="1"/>
      <w:marLeft w:val="0"/>
      <w:marRight w:val="0"/>
      <w:marTop w:val="0"/>
      <w:marBottom w:val="0"/>
      <w:divBdr>
        <w:top w:val="none" w:sz="0" w:space="0" w:color="auto"/>
        <w:left w:val="none" w:sz="0" w:space="0" w:color="auto"/>
        <w:bottom w:val="none" w:sz="0" w:space="0" w:color="auto"/>
        <w:right w:val="none" w:sz="0" w:space="0" w:color="auto"/>
      </w:divBdr>
    </w:div>
    <w:div w:id="1263222320">
      <w:bodyDiv w:val="1"/>
      <w:marLeft w:val="0"/>
      <w:marRight w:val="0"/>
      <w:marTop w:val="0"/>
      <w:marBottom w:val="0"/>
      <w:divBdr>
        <w:top w:val="none" w:sz="0" w:space="0" w:color="auto"/>
        <w:left w:val="none" w:sz="0" w:space="0" w:color="auto"/>
        <w:bottom w:val="none" w:sz="0" w:space="0" w:color="auto"/>
        <w:right w:val="none" w:sz="0" w:space="0" w:color="auto"/>
      </w:divBdr>
    </w:div>
    <w:div w:id="1274092367">
      <w:bodyDiv w:val="1"/>
      <w:marLeft w:val="0"/>
      <w:marRight w:val="0"/>
      <w:marTop w:val="0"/>
      <w:marBottom w:val="0"/>
      <w:divBdr>
        <w:top w:val="none" w:sz="0" w:space="0" w:color="auto"/>
        <w:left w:val="none" w:sz="0" w:space="0" w:color="auto"/>
        <w:bottom w:val="none" w:sz="0" w:space="0" w:color="auto"/>
        <w:right w:val="none" w:sz="0" w:space="0" w:color="auto"/>
      </w:divBdr>
    </w:div>
    <w:div w:id="1276718549">
      <w:bodyDiv w:val="1"/>
      <w:marLeft w:val="0"/>
      <w:marRight w:val="0"/>
      <w:marTop w:val="0"/>
      <w:marBottom w:val="0"/>
      <w:divBdr>
        <w:top w:val="none" w:sz="0" w:space="0" w:color="auto"/>
        <w:left w:val="none" w:sz="0" w:space="0" w:color="auto"/>
        <w:bottom w:val="none" w:sz="0" w:space="0" w:color="auto"/>
        <w:right w:val="none" w:sz="0" w:space="0" w:color="auto"/>
      </w:divBdr>
    </w:div>
    <w:div w:id="1313677196">
      <w:bodyDiv w:val="1"/>
      <w:marLeft w:val="0"/>
      <w:marRight w:val="0"/>
      <w:marTop w:val="0"/>
      <w:marBottom w:val="0"/>
      <w:divBdr>
        <w:top w:val="none" w:sz="0" w:space="0" w:color="auto"/>
        <w:left w:val="none" w:sz="0" w:space="0" w:color="auto"/>
        <w:bottom w:val="none" w:sz="0" w:space="0" w:color="auto"/>
        <w:right w:val="none" w:sz="0" w:space="0" w:color="auto"/>
      </w:divBdr>
    </w:div>
    <w:div w:id="1344363057">
      <w:bodyDiv w:val="1"/>
      <w:marLeft w:val="0"/>
      <w:marRight w:val="0"/>
      <w:marTop w:val="0"/>
      <w:marBottom w:val="0"/>
      <w:divBdr>
        <w:top w:val="none" w:sz="0" w:space="0" w:color="auto"/>
        <w:left w:val="none" w:sz="0" w:space="0" w:color="auto"/>
        <w:bottom w:val="none" w:sz="0" w:space="0" w:color="auto"/>
        <w:right w:val="none" w:sz="0" w:space="0" w:color="auto"/>
      </w:divBdr>
    </w:div>
    <w:div w:id="1414355448">
      <w:bodyDiv w:val="1"/>
      <w:marLeft w:val="0"/>
      <w:marRight w:val="0"/>
      <w:marTop w:val="0"/>
      <w:marBottom w:val="0"/>
      <w:divBdr>
        <w:top w:val="none" w:sz="0" w:space="0" w:color="auto"/>
        <w:left w:val="none" w:sz="0" w:space="0" w:color="auto"/>
        <w:bottom w:val="none" w:sz="0" w:space="0" w:color="auto"/>
        <w:right w:val="none" w:sz="0" w:space="0" w:color="auto"/>
      </w:divBdr>
    </w:div>
    <w:div w:id="1479299331">
      <w:bodyDiv w:val="1"/>
      <w:marLeft w:val="0"/>
      <w:marRight w:val="0"/>
      <w:marTop w:val="0"/>
      <w:marBottom w:val="0"/>
      <w:divBdr>
        <w:top w:val="none" w:sz="0" w:space="0" w:color="auto"/>
        <w:left w:val="none" w:sz="0" w:space="0" w:color="auto"/>
        <w:bottom w:val="none" w:sz="0" w:space="0" w:color="auto"/>
        <w:right w:val="none" w:sz="0" w:space="0" w:color="auto"/>
      </w:divBdr>
    </w:div>
    <w:div w:id="1481532348">
      <w:bodyDiv w:val="1"/>
      <w:marLeft w:val="0"/>
      <w:marRight w:val="0"/>
      <w:marTop w:val="0"/>
      <w:marBottom w:val="0"/>
      <w:divBdr>
        <w:top w:val="none" w:sz="0" w:space="0" w:color="auto"/>
        <w:left w:val="none" w:sz="0" w:space="0" w:color="auto"/>
        <w:bottom w:val="none" w:sz="0" w:space="0" w:color="auto"/>
        <w:right w:val="none" w:sz="0" w:space="0" w:color="auto"/>
      </w:divBdr>
    </w:div>
    <w:div w:id="1539008567">
      <w:bodyDiv w:val="1"/>
      <w:marLeft w:val="0"/>
      <w:marRight w:val="0"/>
      <w:marTop w:val="0"/>
      <w:marBottom w:val="0"/>
      <w:divBdr>
        <w:top w:val="none" w:sz="0" w:space="0" w:color="auto"/>
        <w:left w:val="none" w:sz="0" w:space="0" w:color="auto"/>
        <w:bottom w:val="none" w:sz="0" w:space="0" w:color="auto"/>
        <w:right w:val="none" w:sz="0" w:space="0" w:color="auto"/>
      </w:divBdr>
    </w:div>
    <w:div w:id="1564028678">
      <w:bodyDiv w:val="1"/>
      <w:marLeft w:val="0"/>
      <w:marRight w:val="0"/>
      <w:marTop w:val="0"/>
      <w:marBottom w:val="0"/>
      <w:divBdr>
        <w:top w:val="none" w:sz="0" w:space="0" w:color="auto"/>
        <w:left w:val="none" w:sz="0" w:space="0" w:color="auto"/>
        <w:bottom w:val="none" w:sz="0" w:space="0" w:color="auto"/>
        <w:right w:val="none" w:sz="0" w:space="0" w:color="auto"/>
      </w:divBdr>
    </w:div>
    <w:div w:id="1570916467">
      <w:bodyDiv w:val="1"/>
      <w:marLeft w:val="0"/>
      <w:marRight w:val="0"/>
      <w:marTop w:val="0"/>
      <w:marBottom w:val="0"/>
      <w:divBdr>
        <w:top w:val="none" w:sz="0" w:space="0" w:color="auto"/>
        <w:left w:val="none" w:sz="0" w:space="0" w:color="auto"/>
        <w:bottom w:val="none" w:sz="0" w:space="0" w:color="auto"/>
        <w:right w:val="none" w:sz="0" w:space="0" w:color="auto"/>
      </w:divBdr>
    </w:div>
    <w:div w:id="1574850331">
      <w:bodyDiv w:val="1"/>
      <w:marLeft w:val="0"/>
      <w:marRight w:val="0"/>
      <w:marTop w:val="0"/>
      <w:marBottom w:val="0"/>
      <w:divBdr>
        <w:top w:val="none" w:sz="0" w:space="0" w:color="auto"/>
        <w:left w:val="none" w:sz="0" w:space="0" w:color="auto"/>
        <w:bottom w:val="none" w:sz="0" w:space="0" w:color="auto"/>
        <w:right w:val="none" w:sz="0" w:space="0" w:color="auto"/>
      </w:divBdr>
    </w:div>
    <w:div w:id="1656763314">
      <w:bodyDiv w:val="1"/>
      <w:marLeft w:val="0"/>
      <w:marRight w:val="0"/>
      <w:marTop w:val="0"/>
      <w:marBottom w:val="0"/>
      <w:divBdr>
        <w:top w:val="none" w:sz="0" w:space="0" w:color="auto"/>
        <w:left w:val="none" w:sz="0" w:space="0" w:color="auto"/>
        <w:bottom w:val="none" w:sz="0" w:space="0" w:color="auto"/>
        <w:right w:val="none" w:sz="0" w:space="0" w:color="auto"/>
      </w:divBdr>
    </w:div>
    <w:div w:id="1669819730">
      <w:bodyDiv w:val="1"/>
      <w:marLeft w:val="0"/>
      <w:marRight w:val="0"/>
      <w:marTop w:val="0"/>
      <w:marBottom w:val="0"/>
      <w:divBdr>
        <w:top w:val="none" w:sz="0" w:space="0" w:color="auto"/>
        <w:left w:val="none" w:sz="0" w:space="0" w:color="auto"/>
        <w:bottom w:val="none" w:sz="0" w:space="0" w:color="auto"/>
        <w:right w:val="none" w:sz="0" w:space="0" w:color="auto"/>
      </w:divBdr>
    </w:div>
    <w:div w:id="1700427721">
      <w:bodyDiv w:val="1"/>
      <w:marLeft w:val="0"/>
      <w:marRight w:val="0"/>
      <w:marTop w:val="0"/>
      <w:marBottom w:val="0"/>
      <w:divBdr>
        <w:top w:val="none" w:sz="0" w:space="0" w:color="auto"/>
        <w:left w:val="none" w:sz="0" w:space="0" w:color="auto"/>
        <w:bottom w:val="none" w:sz="0" w:space="0" w:color="auto"/>
        <w:right w:val="none" w:sz="0" w:space="0" w:color="auto"/>
      </w:divBdr>
    </w:div>
    <w:div w:id="1701855562">
      <w:bodyDiv w:val="1"/>
      <w:marLeft w:val="0"/>
      <w:marRight w:val="0"/>
      <w:marTop w:val="0"/>
      <w:marBottom w:val="0"/>
      <w:divBdr>
        <w:top w:val="none" w:sz="0" w:space="0" w:color="auto"/>
        <w:left w:val="none" w:sz="0" w:space="0" w:color="auto"/>
        <w:bottom w:val="none" w:sz="0" w:space="0" w:color="auto"/>
        <w:right w:val="none" w:sz="0" w:space="0" w:color="auto"/>
      </w:divBdr>
    </w:div>
    <w:div w:id="1726953974">
      <w:bodyDiv w:val="1"/>
      <w:marLeft w:val="0"/>
      <w:marRight w:val="0"/>
      <w:marTop w:val="0"/>
      <w:marBottom w:val="0"/>
      <w:divBdr>
        <w:top w:val="none" w:sz="0" w:space="0" w:color="auto"/>
        <w:left w:val="none" w:sz="0" w:space="0" w:color="auto"/>
        <w:bottom w:val="none" w:sz="0" w:space="0" w:color="auto"/>
        <w:right w:val="none" w:sz="0" w:space="0" w:color="auto"/>
      </w:divBdr>
    </w:div>
    <w:div w:id="1859154809">
      <w:bodyDiv w:val="1"/>
      <w:marLeft w:val="0"/>
      <w:marRight w:val="0"/>
      <w:marTop w:val="0"/>
      <w:marBottom w:val="0"/>
      <w:divBdr>
        <w:top w:val="none" w:sz="0" w:space="0" w:color="auto"/>
        <w:left w:val="none" w:sz="0" w:space="0" w:color="auto"/>
        <w:bottom w:val="none" w:sz="0" w:space="0" w:color="auto"/>
        <w:right w:val="none" w:sz="0" w:space="0" w:color="auto"/>
      </w:divBdr>
    </w:div>
    <w:div w:id="1967001762">
      <w:bodyDiv w:val="1"/>
      <w:marLeft w:val="0"/>
      <w:marRight w:val="0"/>
      <w:marTop w:val="0"/>
      <w:marBottom w:val="0"/>
      <w:divBdr>
        <w:top w:val="none" w:sz="0" w:space="0" w:color="auto"/>
        <w:left w:val="none" w:sz="0" w:space="0" w:color="auto"/>
        <w:bottom w:val="none" w:sz="0" w:space="0" w:color="auto"/>
        <w:right w:val="none" w:sz="0" w:space="0" w:color="auto"/>
      </w:divBdr>
    </w:div>
    <w:div w:id="1981809313">
      <w:bodyDiv w:val="1"/>
      <w:marLeft w:val="0"/>
      <w:marRight w:val="0"/>
      <w:marTop w:val="0"/>
      <w:marBottom w:val="0"/>
      <w:divBdr>
        <w:top w:val="none" w:sz="0" w:space="0" w:color="auto"/>
        <w:left w:val="none" w:sz="0" w:space="0" w:color="auto"/>
        <w:bottom w:val="none" w:sz="0" w:space="0" w:color="auto"/>
        <w:right w:val="none" w:sz="0" w:space="0" w:color="auto"/>
      </w:divBdr>
    </w:div>
    <w:div w:id="2065057818">
      <w:bodyDiv w:val="1"/>
      <w:marLeft w:val="0"/>
      <w:marRight w:val="0"/>
      <w:marTop w:val="0"/>
      <w:marBottom w:val="0"/>
      <w:divBdr>
        <w:top w:val="none" w:sz="0" w:space="0" w:color="auto"/>
        <w:left w:val="none" w:sz="0" w:space="0" w:color="auto"/>
        <w:bottom w:val="none" w:sz="0" w:space="0" w:color="auto"/>
        <w:right w:val="none" w:sz="0" w:space="0" w:color="auto"/>
      </w:divBdr>
    </w:div>
    <w:div w:id="2069841744">
      <w:bodyDiv w:val="1"/>
      <w:marLeft w:val="0"/>
      <w:marRight w:val="0"/>
      <w:marTop w:val="0"/>
      <w:marBottom w:val="0"/>
      <w:divBdr>
        <w:top w:val="none" w:sz="0" w:space="0" w:color="auto"/>
        <w:left w:val="none" w:sz="0" w:space="0" w:color="auto"/>
        <w:bottom w:val="none" w:sz="0" w:space="0" w:color="auto"/>
        <w:right w:val="none" w:sz="0" w:space="0" w:color="auto"/>
      </w:divBdr>
    </w:div>
    <w:div w:id="2073263966">
      <w:bodyDiv w:val="1"/>
      <w:marLeft w:val="0"/>
      <w:marRight w:val="0"/>
      <w:marTop w:val="0"/>
      <w:marBottom w:val="0"/>
      <w:divBdr>
        <w:top w:val="none" w:sz="0" w:space="0" w:color="auto"/>
        <w:left w:val="none" w:sz="0" w:space="0" w:color="auto"/>
        <w:bottom w:val="none" w:sz="0" w:space="0" w:color="auto"/>
        <w:right w:val="none" w:sz="0" w:space="0" w:color="auto"/>
      </w:divBdr>
    </w:div>
    <w:div w:id="2098207810">
      <w:bodyDiv w:val="1"/>
      <w:marLeft w:val="0"/>
      <w:marRight w:val="0"/>
      <w:marTop w:val="0"/>
      <w:marBottom w:val="0"/>
      <w:divBdr>
        <w:top w:val="none" w:sz="0" w:space="0" w:color="auto"/>
        <w:left w:val="none" w:sz="0" w:space="0" w:color="auto"/>
        <w:bottom w:val="none" w:sz="0" w:space="0" w:color="auto"/>
        <w:right w:val="none" w:sz="0" w:space="0" w:color="auto"/>
      </w:divBdr>
    </w:div>
    <w:div w:id="21403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fojustice.org/archives/37372" TargetMode="External"/><Relationship Id="rId2" Type="http://schemas.openxmlformats.org/officeDocument/2006/relationships/hyperlink" Target="https://www.merchantsavvy.co.uk/uk-sme-data-stats-charts/" TargetMode="External"/><Relationship Id="rId1" Type="http://schemas.openxmlformats.org/officeDocument/2006/relationships/hyperlink" Target="http://nipcinvention.blogspot.com/2005/09/ip-insurance.html" TargetMode="External"/><Relationship Id="rId5" Type="http://schemas.openxmlformats.org/officeDocument/2006/relationships/hyperlink" Target="https://ecipe.org/publications/stealing-thunder/" TargetMode="External"/><Relationship Id="rId4" Type="http://schemas.openxmlformats.org/officeDocument/2006/relationships/hyperlink" Target="https://2009-2017.state.gov/secretary/20092013clinton/rm/2012/11/20066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beale/Library/Group%20Containers/UBF8T346G9.Office/User%20Content.localized/Templates.localized/T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D44D-2D0E-7E42-AABF-5D84184B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TF.dotx</Template>
  <TotalTime>15</TotalTime>
  <Pages>17</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Beale A.J.</cp:lastModifiedBy>
  <cp:revision>5</cp:revision>
  <cp:lastPrinted>2020-01-06T12:07:00Z</cp:lastPrinted>
  <dcterms:created xsi:type="dcterms:W3CDTF">2020-02-04T11:58:00Z</dcterms:created>
  <dcterms:modified xsi:type="dcterms:W3CDTF">2020-06-04T10:20:00Z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http://www.zotero.org/styles/oscola</vt:lpwstr>
  </property>
  <property fmtid="{D5CDD505-2E9C-101B-9397-08002B2CF9AE}" pid="21" name="Mendeley Recent Style Name 9_1">
    <vt:lpwstr>OSCOLA (Oxford University Standard for Citation of Legal Authorities)</vt:lpwstr>
  </property>
  <property fmtid="{D5CDD505-2E9C-101B-9397-08002B2CF9AE}" pid="22" name="Mendeley Document_1">
    <vt:lpwstr>True</vt:lpwstr>
  </property>
  <property fmtid="{D5CDD505-2E9C-101B-9397-08002B2CF9AE}" pid="23" name="Mendeley Citation Style_1">
    <vt:lpwstr>http://www.zotero.org/styles/oscola</vt:lpwstr>
  </property>
  <property fmtid="{D5CDD505-2E9C-101B-9397-08002B2CF9AE}" pid="24" name="Mendeley Unique User Id_1">
    <vt:lpwstr>678eef9e-bfbd-380e-bb14-c155f4030dfb</vt:lpwstr>
  </property>
</Properties>
</file>