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AA" w:rsidRDefault="00D167BB" w:rsidP="00E76D20">
      <w:pPr>
        <w:spacing w:line="480" w:lineRule="auto"/>
        <w:rPr>
          <w:rFonts w:ascii="Times New Roman" w:hAnsi="Times New Roman" w:cs="Times New Roman (Body CS)"/>
          <w:b/>
          <w:bCs/>
        </w:rPr>
      </w:pPr>
      <w:r>
        <w:rPr>
          <w:rFonts w:ascii="Times New Roman" w:hAnsi="Times New Roman" w:cs="Times New Roman (Body CS)"/>
          <w:b/>
          <w:bCs/>
        </w:rPr>
        <w:t xml:space="preserve">The importance of keeping </w:t>
      </w:r>
      <w:r w:rsidR="00B94129">
        <w:rPr>
          <w:rFonts w:ascii="Times New Roman" w:hAnsi="Times New Roman" w:cs="Times New Roman (Body CS)"/>
          <w:b/>
          <w:bCs/>
        </w:rPr>
        <w:t xml:space="preserve">your company’s </w:t>
      </w:r>
      <w:r>
        <w:rPr>
          <w:rFonts w:ascii="Times New Roman" w:hAnsi="Times New Roman" w:cs="Times New Roman (Body CS)"/>
          <w:b/>
          <w:bCs/>
        </w:rPr>
        <w:t>trade secrets</w:t>
      </w:r>
      <w:r w:rsidR="00B94129">
        <w:rPr>
          <w:rFonts w:ascii="Times New Roman" w:hAnsi="Times New Roman" w:cs="Times New Roman (Body CS)"/>
          <w:b/>
          <w:bCs/>
        </w:rPr>
        <w:t>,</w:t>
      </w:r>
      <w:r>
        <w:rPr>
          <w:rFonts w:ascii="Times New Roman" w:hAnsi="Times New Roman" w:cs="Times New Roman (Body CS)"/>
          <w:b/>
          <w:bCs/>
        </w:rPr>
        <w:t xml:space="preserve"> secret</w:t>
      </w:r>
    </w:p>
    <w:p w:rsidR="00172745" w:rsidRPr="00FD06E8" w:rsidRDefault="00172745" w:rsidP="00FD06E8">
      <w:pPr>
        <w:rPr>
          <w:rFonts w:ascii="Times New Roman" w:eastAsia="Times New Roman" w:hAnsi="Times New Roman" w:cs="Times New Roman"/>
          <w:lang w:eastAsia="en-GB"/>
        </w:rPr>
      </w:pPr>
      <w:r>
        <w:rPr>
          <w:rFonts w:ascii="Times New Roman" w:hAnsi="Times New Roman" w:cs="Times New Roman (Body CS)"/>
          <w:b/>
          <w:bCs/>
        </w:rPr>
        <w:t>Andrew Beale*</w:t>
      </w:r>
      <w:r w:rsidR="00754488">
        <w:rPr>
          <w:rFonts w:ascii="Times New Roman" w:hAnsi="Times New Roman" w:cs="Times New Roman (Body CS)"/>
          <w:b/>
          <w:bCs/>
        </w:rPr>
        <w:t xml:space="preserve"> and </w:t>
      </w:r>
      <w:r w:rsidR="00FD06E8" w:rsidRPr="00FD06E8">
        <w:rPr>
          <w:rFonts w:ascii="Times New Roman" w:eastAsia="Times New Roman" w:hAnsi="Times New Roman" w:cs="Times New Roman"/>
          <w:b/>
          <w:bCs/>
          <w:color w:val="201F1E"/>
          <w:shd w:val="clear" w:color="auto" w:fill="FFFFFF"/>
          <w:lang w:eastAsia="en-GB"/>
        </w:rPr>
        <w:t>Jane Foulser McFarlane</w:t>
      </w:r>
      <w:r w:rsidR="00754488">
        <w:rPr>
          <w:rFonts w:ascii="Times New Roman" w:hAnsi="Times New Roman" w:cs="Times New Roman (Body CS)"/>
          <w:b/>
          <w:bCs/>
        </w:rPr>
        <w:t>**</w:t>
      </w:r>
    </w:p>
    <w:p w:rsidR="00FD06E8" w:rsidRDefault="00FD06E8" w:rsidP="00E76D20">
      <w:pPr>
        <w:spacing w:line="480" w:lineRule="auto"/>
        <w:rPr>
          <w:rFonts w:ascii="Times New Roman" w:hAnsi="Times New Roman" w:cs="Times New Roman (Body CS)"/>
          <w:bCs/>
          <w:i/>
        </w:rPr>
      </w:pPr>
    </w:p>
    <w:p w:rsidR="00172745" w:rsidRDefault="00D06549" w:rsidP="00E76D20">
      <w:pPr>
        <w:spacing w:line="480" w:lineRule="auto"/>
        <w:rPr>
          <w:rFonts w:ascii="Times New Roman" w:hAnsi="Times New Roman" w:cs="Times New Roman (Body CS)"/>
          <w:bCs/>
          <w:i/>
        </w:rPr>
      </w:pPr>
      <w:r>
        <w:rPr>
          <w:rFonts w:ascii="Times New Roman" w:hAnsi="Times New Roman" w:cs="Times New Roman (Body CS)"/>
          <w:bCs/>
          <w:i/>
        </w:rPr>
        <w:t xml:space="preserve">Risk Management, </w:t>
      </w:r>
      <w:r w:rsidR="005B06D0">
        <w:rPr>
          <w:rFonts w:ascii="Times New Roman" w:hAnsi="Times New Roman" w:cs="Times New Roman (Body CS)"/>
          <w:bCs/>
          <w:i/>
        </w:rPr>
        <w:t>Intellectual Property</w:t>
      </w:r>
      <w:r w:rsidR="0023074B">
        <w:rPr>
          <w:rFonts w:ascii="Times New Roman" w:hAnsi="Times New Roman" w:cs="Times New Roman (Body CS)"/>
          <w:bCs/>
          <w:i/>
        </w:rPr>
        <w:t xml:space="preserve">, Trade Secrets, </w:t>
      </w:r>
      <w:r w:rsidR="00414ED4">
        <w:rPr>
          <w:rFonts w:ascii="Times New Roman" w:hAnsi="Times New Roman" w:cs="Times New Roman (Body CS)"/>
          <w:bCs/>
          <w:i/>
        </w:rPr>
        <w:t>Cyber</w:t>
      </w:r>
      <w:r w:rsidR="002D7490">
        <w:rPr>
          <w:rFonts w:ascii="Times New Roman" w:hAnsi="Times New Roman" w:cs="Times New Roman (Body CS)"/>
          <w:bCs/>
          <w:i/>
        </w:rPr>
        <w:t xml:space="preserve"> </w:t>
      </w:r>
      <w:r w:rsidR="00414ED4">
        <w:rPr>
          <w:rFonts w:ascii="Times New Roman" w:hAnsi="Times New Roman" w:cs="Times New Roman (Body CS)"/>
          <w:bCs/>
          <w:i/>
        </w:rPr>
        <w:t>security</w:t>
      </w:r>
    </w:p>
    <w:p w:rsidR="00880543" w:rsidRDefault="00880543" w:rsidP="00E76D20">
      <w:pPr>
        <w:spacing w:line="480" w:lineRule="auto"/>
        <w:rPr>
          <w:rFonts w:ascii="Times New Roman" w:hAnsi="Times New Roman" w:cs="Times New Roman (Body CS)"/>
          <w:b/>
          <w:bCs/>
        </w:rPr>
      </w:pPr>
    </w:p>
    <w:p w:rsidR="00172745" w:rsidRDefault="00172745" w:rsidP="00E76D20">
      <w:pPr>
        <w:spacing w:line="480" w:lineRule="auto"/>
        <w:rPr>
          <w:rFonts w:ascii="Times New Roman" w:hAnsi="Times New Roman" w:cs="Times New Roman (Body CS)"/>
          <w:b/>
          <w:bCs/>
        </w:rPr>
      </w:pPr>
      <w:r w:rsidRPr="00172745">
        <w:rPr>
          <w:rFonts w:ascii="Times New Roman" w:hAnsi="Times New Roman" w:cs="Times New Roman (Body CS)"/>
          <w:b/>
          <w:bCs/>
        </w:rPr>
        <w:t>Abstract</w:t>
      </w:r>
    </w:p>
    <w:p w:rsidR="001133BA" w:rsidRDefault="001133BA" w:rsidP="00E76D20">
      <w:pPr>
        <w:spacing w:line="480" w:lineRule="auto"/>
        <w:rPr>
          <w:rFonts w:ascii="Times New Roman" w:hAnsi="Times New Roman" w:cs="Times New Roman (Body CS)"/>
          <w:bCs/>
        </w:rPr>
      </w:pPr>
    </w:p>
    <w:p w:rsidR="00880543" w:rsidRDefault="003429F4" w:rsidP="00E76D20">
      <w:pPr>
        <w:spacing w:line="480" w:lineRule="auto"/>
        <w:rPr>
          <w:rFonts w:ascii="Times New Roman" w:hAnsi="Times New Roman" w:cs="Times New Roman (Body CS)"/>
          <w:bCs/>
        </w:rPr>
      </w:pPr>
      <w:r w:rsidRPr="003429F4">
        <w:rPr>
          <w:rFonts w:ascii="Times New Roman" w:hAnsi="Times New Roman" w:cs="Times New Roman (Body CS)"/>
          <w:bCs/>
        </w:rPr>
        <w:t xml:space="preserve">This article </w:t>
      </w:r>
      <w:r>
        <w:rPr>
          <w:rFonts w:ascii="Times New Roman" w:hAnsi="Times New Roman" w:cs="Times New Roman (Body CS)"/>
          <w:bCs/>
        </w:rPr>
        <w:t xml:space="preserve">offers </w:t>
      </w:r>
      <w:r w:rsidR="0005462D">
        <w:rPr>
          <w:rFonts w:ascii="Times New Roman" w:hAnsi="Times New Roman" w:cs="Times New Roman (Body CS)"/>
          <w:bCs/>
        </w:rPr>
        <w:t>a</w:t>
      </w:r>
      <w:r w:rsidR="00151614">
        <w:rPr>
          <w:rFonts w:ascii="Times New Roman" w:hAnsi="Times New Roman" w:cs="Times New Roman (Body CS)"/>
          <w:bCs/>
        </w:rPr>
        <w:t xml:space="preserve"> legal</w:t>
      </w:r>
      <w:r w:rsidR="00A95BC2">
        <w:rPr>
          <w:rFonts w:ascii="Times New Roman" w:hAnsi="Times New Roman" w:cs="Times New Roman (Body CS)"/>
          <w:bCs/>
        </w:rPr>
        <w:t xml:space="preserve"> analysis o</w:t>
      </w:r>
      <w:r w:rsidR="00F129D4">
        <w:rPr>
          <w:rFonts w:ascii="Times New Roman" w:hAnsi="Times New Roman" w:cs="Times New Roman (Body CS)"/>
          <w:bCs/>
        </w:rPr>
        <w:t>f</w:t>
      </w:r>
      <w:r w:rsidR="00304BC5">
        <w:rPr>
          <w:rFonts w:ascii="Times New Roman" w:hAnsi="Times New Roman" w:cs="Times New Roman (Body CS)"/>
          <w:bCs/>
        </w:rPr>
        <w:t xml:space="preserve"> </w:t>
      </w:r>
      <w:r w:rsidR="009E2350">
        <w:rPr>
          <w:rFonts w:ascii="Times New Roman" w:hAnsi="Times New Roman" w:cs="Times New Roman (Body CS)"/>
          <w:bCs/>
        </w:rPr>
        <w:t>the</w:t>
      </w:r>
      <w:r w:rsidR="001133BA">
        <w:rPr>
          <w:rFonts w:ascii="Times New Roman" w:hAnsi="Times New Roman" w:cs="Times New Roman (Body CS)"/>
          <w:bCs/>
        </w:rPr>
        <w:t xml:space="preserve"> </w:t>
      </w:r>
      <w:r w:rsidR="00F129D4">
        <w:rPr>
          <w:rFonts w:ascii="Times New Roman" w:hAnsi="Times New Roman" w:cs="Times New Roman (Body CS)"/>
          <w:bCs/>
        </w:rPr>
        <w:t xml:space="preserve">future operation of the </w:t>
      </w:r>
      <w:r w:rsidR="001133BA">
        <w:rPr>
          <w:rFonts w:ascii="Times New Roman" w:hAnsi="Times New Roman" w:cs="Times New Roman (Body CS)"/>
        </w:rPr>
        <w:t xml:space="preserve">UK </w:t>
      </w:r>
      <w:r w:rsidR="001133BA" w:rsidRPr="0018170E">
        <w:rPr>
          <w:rFonts w:ascii="Times New Roman" w:hAnsi="Times New Roman" w:cs="Times New Roman (Body CS)"/>
        </w:rPr>
        <w:t>Trade Secrets (Enforcement</w:t>
      </w:r>
      <w:r w:rsidR="00F76556">
        <w:rPr>
          <w:rFonts w:ascii="Times New Roman" w:hAnsi="Times New Roman" w:cs="Times New Roman (Body CS)"/>
        </w:rPr>
        <w:t>,</w:t>
      </w:r>
      <w:r w:rsidR="001133BA" w:rsidRPr="0018170E">
        <w:rPr>
          <w:rFonts w:ascii="Times New Roman" w:hAnsi="Times New Roman" w:cs="Times New Roman (Body CS)"/>
        </w:rPr>
        <w:t xml:space="preserve"> etc</w:t>
      </w:r>
      <w:r w:rsidR="001133BA">
        <w:rPr>
          <w:rFonts w:ascii="Times New Roman" w:hAnsi="Times New Roman" w:cs="Times New Roman (Body CS)"/>
        </w:rPr>
        <w:t>.</w:t>
      </w:r>
      <w:r w:rsidR="001133BA" w:rsidRPr="0018170E">
        <w:rPr>
          <w:rFonts w:ascii="Times New Roman" w:hAnsi="Times New Roman" w:cs="Times New Roman (Body CS)"/>
        </w:rPr>
        <w:t>) Regulations 2018</w:t>
      </w:r>
      <w:r w:rsidR="00A95BC2">
        <w:rPr>
          <w:rFonts w:ascii="Times New Roman" w:hAnsi="Times New Roman" w:cs="Times New Roman (Body CS)"/>
        </w:rPr>
        <w:t xml:space="preserve"> </w:t>
      </w:r>
      <w:r w:rsidR="00304BC5">
        <w:rPr>
          <w:rFonts w:ascii="Times New Roman" w:hAnsi="Times New Roman" w:cs="Times New Roman (Body CS)"/>
        </w:rPr>
        <w:t xml:space="preserve">and how risk management training </w:t>
      </w:r>
      <w:r w:rsidR="00D444C4">
        <w:rPr>
          <w:rFonts w:ascii="Times New Roman" w:hAnsi="Times New Roman" w:cs="Times New Roman (Body CS)"/>
        </w:rPr>
        <w:t>about</w:t>
      </w:r>
      <w:r w:rsidR="00304BC5">
        <w:rPr>
          <w:rFonts w:ascii="Times New Roman" w:hAnsi="Times New Roman" w:cs="Times New Roman (Body CS)"/>
        </w:rPr>
        <w:t xml:space="preserve"> </w:t>
      </w:r>
      <w:r w:rsidR="00F129D4">
        <w:rPr>
          <w:rFonts w:ascii="Times New Roman" w:hAnsi="Times New Roman" w:cs="Times New Roman (Body CS)"/>
        </w:rPr>
        <w:t>these</w:t>
      </w:r>
      <w:r w:rsidR="00DD1CB4">
        <w:rPr>
          <w:rFonts w:ascii="Times New Roman" w:hAnsi="Times New Roman" w:cs="Times New Roman (Body CS)"/>
        </w:rPr>
        <w:t xml:space="preserve"> </w:t>
      </w:r>
      <w:r w:rsidR="00F129D4">
        <w:rPr>
          <w:rFonts w:ascii="Times New Roman" w:hAnsi="Times New Roman" w:cs="Times New Roman (Body CS)"/>
        </w:rPr>
        <w:t>Regulations</w:t>
      </w:r>
      <w:r w:rsidR="00304BC5">
        <w:rPr>
          <w:rFonts w:ascii="Times New Roman" w:hAnsi="Times New Roman" w:cs="Times New Roman (Body CS)"/>
        </w:rPr>
        <w:t xml:space="preserve"> </w:t>
      </w:r>
      <w:r w:rsidR="009E2350">
        <w:rPr>
          <w:rFonts w:ascii="Times New Roman" w:hAnsi="Times New Roman" w:cs="Times New Roman (Body CS)"/>
        </w:rPr>
        <w:t xml:space="preserve">will assist </w:t>
      </w:r>
      <w:r w:rsidR="00B94129">
        <w:rPr>
          <w:rFonts w:ascii="Times New Roman" w:hAnsi="Times New Roman" w:cs="Times New Roman (Body CS)"/>
        </w:rPr>
        <w:t>Company B</w:t>
      </w:r>
      <w:r w:rsidR="009E2350">
        <w:rPr>
          <w:rFonts w:ascii="Times New Roman" w:hAnsi="Times New Roman" w:cs="Times New Roman (Body CS)"/>
        </w:rPr>
        <w:t xml:space="preserve">oards of </w:t>
      </w:r>
      <w:r w:rsidR="00B94129">
        <w:rPr>
          <w:rFonts w:ascii="Times New Roman" w:hAnsi="Times New Roman" w:cs="Times New Roman (Body CS)"/>
        </w:rPr>
        <w:t>D</w:t>
      </w:r>
      <w:r w:rsidR="009E2350">
        <w:rPr>
          <w:rFonts w:ascii="Times New Roman" w:hAnsi="Times New Roman" w:cs="Times New Roman (Body CS)"/>
        </w:rPr>
        <w:t xml:space="preserve">irectors </w:t>
      </w:r>
      <w:r w:rsidR="00D444C4">
        <w:rPr>
          <w:rFonts w:ascii="Times New Roman" w:hAnsi="Times New Roman" w:cs="Times New Roman (Body CS)"/>
        </w:rPr>
        <w:t xml:space="preserve">and </w:t>
      </w:r>
      <w:r w:rsidR="00B94129">
        <w:rPr>
          <w:rFonts w:ascii="Times New Roman" w:hAnsi="Times New Roman" w:cs="Times New Roman (Body CS)"/>
        </w:rPr>
        <w:t>S</w:t>
      </w:r>
      <w:r w:rsidR="00D444C4">
        <w:rPr>
          <w:rFonts w:ascii="Times New Roman" w:hAnsi="Times New Roman" w:cs="Times New Roman (Body CS)"/>
        </w:rPr>
        <w:t xml:space="preserve">enior </w:t>
      </w:r>
      <w:r w:rsidR="00B94129">
        <w:rPr>
          <w:rFonts w:ascii="Times New Roman" w:hAnsi="Times New Roman" w:cs="Times New Roman (Body CS)"/>
        </w:rPr>
        <w:t>M</w:t>
      </w:r>
      <w:r w:rsidR="00D444C4">
        <w:rPr>
          <w:rFonts w:ascii="Times New Roman" w:hAnsi="Times New Roman" w:cs="Times New Roman (Body CS)"/>
        </w:rPr>
        <w:t xml:space="preserve">anagers </w:t>
      </w:r>
      <w:r w:rsidR="009E2350">
        <w:rPr>
          <w:rFonts w:ascii="Times New Roman" w:hAnsi="Times New Roman" w:cs="Times New Roman (Body CS)"/>
        </w:rPr>
        <w:t xml:space="preserve">to better understand and protect their </w:t>
      </w:r>
      <w:r w:rsidR="00D444C4">
        <w:rPr>
          <w:rFonts w:ascii="Times New Roman" w:hAnsi="Times New Roman" w:cs="Times New Roman (Body CS)"/>
        </w:rPr>
        <w:t xml:space="preserve">firms’ </w:t>
      </w:r>
      <w:r w:rsidR="009E2350">
        <w:rPr>
          <w:rFonts w:ascii="Times New Roman" w:hAnsi="Times New Roman" w:cs="Times New Roman (Body CS)"/>
        </w:rPr>
        <w:t xml:space="preserve">intellectual </w:t>
      </w:r>
      <w:r w:rsidR="00F129D4">
        <w:rPr>
          <w:rFonts w:ascii="Times New Roman" w:hAnsi="Times New Roman" w:cs="Times New Roman (Body CS)"/>
        </w:rPr>
        <w:t>property</w:t>
      </w:r>
      <w:r w:rsidR="009E2350">
        <w:rPr>
          <w:rFonts w:ascii="Times New Roman" w:hAnsi="Times New Roman" w:cs="Times New Roman (Body CS)"/>
        </w:rPr>
        <w:t>.</w:t>
      </w:r>
    </w:p>
    <w:p w:rsidR="001133BA" w:rsidRDefault="001133BA" w:rsidP="0033740F">
      <w:pPr>
        <w:spacing w:line="480" w:lineRule="auto"/>
        <w:rPr>
          <w:rFonts w:ascii="Times New Roman" w:hAnsi="Times New Roman" w:cs="Times New Roman (Body CS)"/>
          <w:bCs/>
        </w:rPr>
      </w:pPr>
    </w:p>
    <w:p w:rsidR="00C53BD5" w:rsidRDefault="00C53BD5" w:rsidP="0033740F">
      <w:pPr>
        <w:spacing w:line="480" w:lineRule="auto"/>
        <w:rPr>
          <w:rFonts w:ascii="Times New Roman" w:hAnsi="Times New Roman" w:cs="Times New Roman (Body CS)"/>
          <w:bCs/>
        </w:rPr>
      </w:pPr>
    </w:p>
    <w:p w:rsidR="001133BA" w:rsidRDefault="001133BA" w:rsidP="0033740F">
      <w:pPr>
        <w:spacing w:line="480" w:lineRule="auto"/>
        <w:rPr>
          <w:rFonts w:ascii="Times New Roman" w:hAnsi="Times New Roman" w:cs="Times New Roman (Body CS)"/>
          <w:bCs/>
        </w:rPr>
      </w:pPr>
    </w:p>
    <w:p w:rsidR="001133BA" w:rsidRDefault="001133BA" w:rsidP="0033740F">
      <w:pPr>
        <w:spacing w:line="480" w:lineRule="auto"/>
        <w:rPr>
          <w:rFonts w:ascii="Times New Roman" w:hAnsi="Times New Roman" w:cs="Times New Roman (Body CS)"/>
          <w:bCs/>
        </w:rPr>
      </w:pPr>
    </w:p>
    <w:p w:rsidR="005B06D0" w:rsidRDefault="005B06D0" w:rsidP="0033740F">
      <w:pPr>
        <w:spacing w:line="480" w:lineRule="auto"/>
        <w:rPr>
          <w:rFonts w:ascii="Times New Roman" w:hAnsi="Times New Roman" w:cs="Times New Roman (Body CS)"/>
          <w:bCs/>
        </w:rPr>
      </w:pPr>
    </w:p>
    <w:p w:rsidR="005B06D0" w:rsidRDefault="005B06D0" w:rsidP="0033740F">
      <w:pPr>
        <w:spacing w:line="480" w:lineRule="auto"/>
        <w:rPr>
          <w:rFonts w:ascii="Times New Roman" w:hAnsi="Times New Roman" w:cs="Times New Roman (Body CS)"/>
          <w:bCs/>
        </w:rPr>
      </w:pPr>
    </w:p>
    <w:p w:rsidR="005B06D0" w:rsidRDefault="005B06D0" w:rsidP="0033740F">
      <w:pPr>
        <w:spacing w:line="480" w:lineRule="auto"/>
        <w:rPr>
          <w:rFonts w:ascii="Times New Roman" w:hAnsi="Times New Roman" w:cs="Times New Roman (Body CS)"/>
          <w:bCs/>
        </w:rPr>
      </w:pPr>
    </w:p>
    <w:p w:rsidR="001133BA" w:rsidRDefault="001133BA" w:rsidP="0033740F">
      <w:pPr>
        <w:spacing w:line="480" w:lineRule="auto"/>
        <w:rPr>
          <w:rFonts w:ascii="Times New Roman" w:hAnsi="Times New Roman" w:cs="Times New Roman (Body CS)"/>
          <w:bCs/>
        </w:rPr>
      </w:pPr>
    </w:p>
    <w:p w:rsidR="00D167BB" w:rsidRDefault="00D167BB" w:rsidP="0033740F">
      <w:pPr>
        <w:spacing w:line="480" w:lineRule="auto"/>
        <w:rPr>
          <w:rFonts w:ascii="Times New Roman" w:hAnsi="Times New Roman" w:cs="Times New Roman (Body CS)"/>
          <w:bCs/>
        </w:rPr>
      </w:pPr>
    </w:p>
    <w:p w:rsidR="005B2AA7" w:rsidRDefault="005B2AA7" w:rsidP="0033740F">
      <w:pPr>
        <w:pBdr>
          <w:bottom w:val="single" w:sz="12" w:space="1" w:color="auto"/>
        </w:pBdr>
        <w:spacing w:line="480" w:lineRule="auto"/>
        <w:rPr>
          <w:rFonts w:ascii="Times New Roman" w:hAnsi="Times New Roman" w:cs="Times New Roman (Body CS)"/>
          <w:bCs/>
        </w:rPr>
      </w:pPr>
    </w:p>
    <w:p w:rsidR="0033740F" w:rsidRPr="00D167BB" w:rsidRDefault="00D167BB" w:rsidP="00D167BB">
      <w:pPr>
        <w:spacing w:line="480" w:lineRule="auto"/>
        <w:rPr>
          <w:rFonts w:ascii="Times New Roman" w:hAnsi="Times New Roman" w:cs="Times New Roman"/>
          <w:i/>
          <w:iCs/>
          <w:sz w:val="20"/>
          <w:szCs w:val="20"/>
        </w:rPr>
      </w:pPr>
      <w:r w:rsidRPr="00D167BB">
        <w:rPr>
          <w:rFonts w:ascii="Times New Roman" w:hAnsi="Times New Roman" w:cs="Times New Roman"/>
          <w:sz w:val="20"/>
          <w:szCs w:val="20"/>
        </w:rPr>
        <w:t>*</w:t>
      </w:r>
      <w:r>
        <w:rPr>
          <w:rFonts w:ascii="Times New Roman" w:hAnsi="Times New Roman" w:cs="Times New Roman"/>
          <w:sz w:val="20"/>
          <w:szCs w:val="20"/>
        </w:rPr>
        <w:t xml:space="preserve"> </w:t>
      </w:r>
      <w:r w:rsidRPr="00D167BB">
        <w:rPr>
          <w:rFonts w:ascii="Times New Roman" w:hAnsi="Times New Roman" w:cs="Times New Roman"/>
          <w:sz w:val="20"/>
          <w:szCs w:val="20"/>
        </w:rPr>
        <w:t xml:space="preserve">OBE, </w:t>
      </w:r>
      <w:r w:rsidR="0033740F" w:rsidRPr="00D167BB">
        <w:rPr>
          <w:rFonts w:ascii="Times New Roman" w:hAnsi="Times New Roman" w:cs="Times New Roman" w:hint="cs"/>
          <w:sz w:val="20"/>
          <w:szCs w:val="20"/>
        </w:rPr>
        <w:t xml:space="preserve">Associate Professor, Director of </w:t>
      </w:r>
      <w:r w:rsidRPr="00D167BB">
        <w:rPr>
          <w:rFonts w:ascii="Times New Roman" w:hAnsi="Times New Roman" w:cs="Times New Roman"/>
          <w:sz w:val="20"/>
          <w:szCs w:val="20"/>
        </w:rPr>
        <w:t xml:space="preserve">IP Wales </w:t>
      </w:r>
      <w:r w:rsidR="0033740F" w:rsidRPr="00D167BB">
        <w:rPr>
          <w:rFonts w:ascii="Times New Roman" w:hAnsi="Times New Roman" w:cs="Times New Roman" w:hint="cs"/>
          <w:sz w:val="20"/>
          <w:szCs w:val="20"/>
        </w:rPr>
        <w:t>and Member of the International Institute of Shipping and</w:t>
      </w:r>
      <w:r w:rsidRPr="00D167BB">
        <w:rPr>
          <w:rFonts w:ascii="Times New Roman" w:hAnsi="Times New Roman" w:cs="Times New Roman"/>
          <w:sz w:val="20"/>
          <w:szCs w:val="20"/>
        </w:rPr>
        <w:t xml:space="preserve"> </w:t>
      </w:r>
      <w:r w:rsidR="0033740F" w:rsidRPr="00D167BB">
        <w:rPr>
          <w:rFonts w:ascii="Times New Roman" w:hAnsi="Times New Roman" w:cs="Times New Roman" w:hint="cs"/>
          <w:sz w:val="20"/>
          <w:szCs w:val="20"/>
        </w:rPr>
        <w:t xml:space="preserve">Trade Law (IISTL) </w:t>
      </w:r>
      <w:r w:rsidR="005B06D0" w:rsidRPr="00D167BB">
        <w:rPr>
          <w:rFonts w:ascii="Times New Roman" w:hAnsi="Times New Roman" w:cs="Times New Roman"/>
          <w:sz w:val="20"/>
          <w:szCs w:val="20"/>
        </w:rPr>
        <w:t xml:space="preserve">- </w:t>
      </w:r>
      <w:r w:rsidR="005B06D0" w:rsidRPr="00D167BB">
        <w:rPr>
          <w:rFonts w:ascii="Times New Roman" w:hAnsi="Times New Roman" w:cs="Times New Roman"/>
          <w:i/>
          <w:iCs/>
          <w:sz w:val="20"/>
          <w:szCs w:val="20"/>
        </w:rPr>
        <w:t>address for correspondence a.j.beale@swansea.ac.uk</w:t>
      </w:r>
    </w:p>
    <w:p w:rsidR="005B06D0" w:rsidRDefault="0033740F" w:rsidP="00E76D20">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00792FA8">
        <w:rPr>
          <w:rFonts w:ascii="Times New Roman" w:hAnsi="Times New Roman" w:cs="Times New Roman"/>
          <w:sz w:val="20"/>
          <w:szCs w:val="20"/>
        </w:rPr>
        <w:t>Barrister, 30 Park Place Cardiff</w:t>
      </w:r>
      <w:r w:rsidR="00F76556">
        <w:rPr>
          <w:rFonts w:ascii="Times New Roman" w:hAnsi="Times New Roman" w:cs="Times New Roman"/>
          <w:sz w:val="20"/>
          <w:szCs w:val="20"/>
        </w:rPr>
        <w:t xml:space="preserve"> and 3PB</w:t>
      </w:r>
    </w:p>
    <w:p w:rsidR="005B2AA7" w:rsidRDefault="005B2AA7" w:rsidP="00E76D20">
      <w:pPr>
        <w:spacing w:line="480" w:lineRule="auto"/>
        <w:rPr>
          <w:rFonts w:ascii="Times New Roman" w:eastAsia="Times New Roman" w:hAnsi="Times New Roman" w:cs="Times New Roman"/>
          <w:sz w:val="20"/>
          <w:szCs w:val="20"/>
          <w:lang w:eastAsia="en-GB"/>
        </w:rPr>
      </w:pPr>
      <w:r w:rsidRPr="0033740F">
        <w:rPr>
          <w:rFonts w:ascii="Times New Roman" w:hAnsi="Times New Roman" w:cs="Times New Roman" w:hint="cs"/>
          <w:sz w:val="20"/>
          <w:szCs w:val="20"/>
        </w:rPr>
        <w:t>The author</w:t>
      </w:r>
      <w:r w:rsidRPr="0033740F">
        <w:rPr>
          <w:rFonts w:ascii="Times New Roman" w:hAnsi="Times New Roman" w:cs="Times New Roman"/>
          <w:sz w:val="20"/>
          <w:szCs w:val="20"/>
        </w:rPr>
        <w:t>s</w:t>
      </w:r>
      <w:r w:rsidRPr="0033740F">
        <w:rPr>
          <w:rFonts w:ascii="Times New Roman" w:hAnsi="Times New Roman" w:cs="Times New Roman" w:hint="cs"/>
          <w:sz w:val="20"/>
          <w:szCs w:val="20"/>
        </w:rPr>
        <w:t xml:space="preserve"> express </w:t>
      </w:r>
      <w:r w:rsidRPr="0033740F">
        <w:rPr>
          <w:rFonts w:ascii="Times New Roman" w:hAnsi="Times New Roman" w:cs="Times New Roman"/>
          <w:sz w:val="20"/>
          <w:szCs w:val="20"/>
        </w:rPr>
        <w:t>th</w:t>
      </w:r>
      <w:r w:rsidR="00D167BB">
        <w:rPr>
          <w:rFonts w:ascii="Times New Roman" w:hAnsi="Times New Roman" w:cs="Times New Roman"/>
          <w:sz w:val="20"/>
          <w:szCs w:val="20"/>
        </w:rPr>
        <w:t>ei</w:t>
      </w:r>
      <w:r w:rsidRPr="0033740F">
        <w:rPr>
          <w:rFonts w:ascii="Times New Roman" w:hAnsi="Times New Roman" w:cs="Times New Roman"/>
          <w:sz w:val="20"/>
          <w:szCs w:val="20"/>
        </w:rPr>
        <w:t>r</w:t>
      </w:r>
      <w:r w:rsidRPr="0033740F">
        <w:rPr>
          <w:rFonts w:ascii="Times New Roman" w:hAnsi="Times New Roman" w:cs="Times New Roman" w:hint="cs"/>
          <w:sz w:val="20"/>
          <w:szCs w:val="20"/>
        </w:rPr>
        <w:t xml:space="preserve"> thanks </w:t>
      </w:r>
      <w:r w:rsidR="00D167BB">
        <w:rPr>
          <w:rFonts w:ascii="Times New Roman" w:hAnsi="Times New Roman" w:cs="Times New Roman"/>
          <w:sz w:val="20"/>
          <w:szCs w:val="20"/>
        </w:rPr>
        <w:t xml:space="preserve">and appreciation </w:t>
      </w:r>
      <w:r>
        <w:rPr>
          <w:rFonts w:ascii="Times New Roman" w:hAnsi="Times New Roman" w:cs="Times New Roman"/>
          <w:sz w:val="20"/>
          <w:szCs w:val="20"/>
        </w:rPr>
        <w:t>t</w:t>
      </w:r>
      <w:r w:rsidRPr="0033740F">
        <w:rPr>
          <w:rFonts w:ascii="Times New Roman" w:hAnsi="Times New Roman" w:cs="Times New Roman" w:hint="cs"/>
          <w:sz w:val="20"/>
          <w:szCs w:val="20"/>
        </w:rPr>
        <w:t xml:space="preserve">o Professor Andrew </w:t>
      </w:r>
      <w:proofErr w:type="spellStart"/>
      <w:r w:rsidRPr="0033740F">
        <w:rPr>
          <w:rFonts w:ascii="Times New Roman" w:hAnsi="Times New Roman" w:cs="Times New Roman" w:hint="cs"/>
          <w:sz w:val="20"/>
          <w:szCs w:val="20"/>
        </w:rPr>
        <w:t>Tettenborn</w:t>
      </w:r>
      <w:proofErr w:type="spellEnd"/>
      <w:r w:rsidRPr="0033740F">
        <w:rPr>
          <w:rFonts w:ascii="Times New Roman" w:hAnsi="Times New Roman" w:cs="Times New Roman" w:hint="cs"/>
          <w:sz w:val="20"/>
          <w:szCs w:val="20"/>
        </w:rPr>
        <w:t xml:space="preserve"> (Member IISTL) for </w:t>
      </w:r>
      <w:r>
        <w:rPr>
          <w:rFonts w:ascii="Times New Roman" w:hAnsi="Times New Roman" w:cs="Times New Roman"/>
          <w:sz w:val="20"/>
          <w:szCs w:val="20"/>
        </w:rPr>
        <w:t>his</w:t>
      </w:r>
      <w:r w:rsidRPr="0033740F">
        <w:rPr>
          <w:rFonts w:ascii="Times New Roman" w:hAnsi="Times New Roman" w:cs="Times New Roman" w:hint="cs"/>
          <w:sz w:val="20"/>
          <w:szCs w:val="20"/>
        </w:rPr>
        <w:t xml:space="preserve"> comments on the working draft, any errors herein remain those of the author</w:t>
      </w:r>
      <w:r w:rsidRPr="0033740F">
        <w:rPr>
          <w:rFonts w:ascii="Times New Roman" w:hAnsi="Times New Roman" w:cs="Times New Roman"/>
          <w:sz w:val="20"/>
          <w:szCs w:val="20"/>
        </w:rPr>
        <w:t>s</w:t>
      </w:r>
      <w:r w:rsidR="00D167BB">
        <w:rPr>
          <w:rFonts w:ascii="Times New Roman" w:hAnsi="Times New Roman" w:cs="Times New Roman"/>
          <w:sz w:val="20"/>
          <w:szCs w:val="20"/>
        </w:rPr>
        <w:t>.</w:t>
      </w:r>
    </w:p>
    <w:p w:rsidR="00D167BB" w:rsidRDefault="00D167BB" w:rsidP="00E76D20">
      <w:pPr>
        <w:spacing w:line="480" w:lineRule="auto"/>
        <w:rPr>
          <w:rFonts w:ascii="Times New Roman" w:hAnsi="Times New Roman" w:cs="Times New Roman (Body CS)"/>
          <w:b/>
          <w:bCs/>
        </w:rPr>
      </w:pPr>
    </w:p>
    <w:p w:rsidR="00CB598B" w:rsidRPr="005B2AA7" w:rsidRDefault="00CB598B" w:rsidP="00E76D20">
      <w:pPr>
        <w:spacing w:line="480" w:lineRule="auto"/>
        <w:rPr>
          <w:rFonts w:ascii="Times New Roman" w:eastAsia="Times New Roman" w:hAnsi="Times New Roman" w:cs="Times New Roman"/>
          <w:sz w:val="20"/>
          <w:szCs w:val="20"/>
          <w:lang w:eastAsia="en-GB"/>
        </w:rPr>
      </w:pPr>
      <w:r w:rsidRPr="00CB598B">
        <w:rPr>
          <w:rFonts w:ascii="Times New Roman" w:hAnsi="Times New Roman" w:cs="Times New Roman (Body CS)"/>
          <w:b/>
          <w:bCs/>
        </w:rPr>
        <w:lastRenderedPageBreak/>
        <w:t xml:space="preserve">Introduction </w:t>
      </w:r>
    </w:p>
    <w:p w:rsidR="00155FE5" w:rsidRPr="005B06D0" w:rsidRDefault="00155FE5" w:rsidP="00E76D20">
      <w:pPr>
        <w:spacing w:line="480" w:lineRule="auto"/>
        <w:rPr>
          <w:rFonts w:ascii="Times New Roman" w:hAnsi="Times New Roman" w:cs="Times New Roman"/>
          <w:sz w:val="20"/>
          <w:szCs w:val="20"/>
        </w:rPr>
      </w:pPr>
    </w:p>
    <w:p w:rsidR="006215CD" w:rsidRDefault="008A24A6" w:rsidP="005B06D0">
      <w:pPr>
        <w:spacing w:line="480" w:lineRule="auto"/>
        <w:rPr>
          <w:rFonts w:ascii="Times New Roman" w:hAnsi="Times New Roman" w:cs="Times New Roman (Body CS)"/>
          <w:bCs/>
        </w:rPr>
      </w:pPr>
      <w:r>
        <w:rPr>
          <w:rFonts w:ascii="Times New Roman" w:hAnsi="Times New Roman" w:cs="Times New Roman (Body CS)"/>
          <w:bCs/>
        </w:rPr>
        <w:t xml:space="preserve">Corporate awareness of intellectual assets is now at a level where they can no longer be perceived as being the “hidden assets” of a </w:t>
      </w:r>
      <w:r w:rsidR="00C53BD5">
        <w:rPr>
          <w:rFonts w:ascii="Times New Roman" w:hAnsi="Times New Roman" w:cs="Times New Roman (Body CS)"/>
          <w:bCs/>
        </w:rPr>
        <w:t>company</w:t>
      </w:r>
      <w:r>
        <w:rPr>
          <w:rFonts w:ascii="Times New Roman" w:hAnsi="Times New Roman" w:cs="Times New Roman (Body CS)"/>
          <w:bCs/>
        </w:rPr>
        <w:t>. The next big challenge is to recognise and respond to</w:t>
      </w:r>
      <w:r w:rsidR="00D74D35">
        <w:rPr>
          <w:rFonts w:ascii="Times New Roman" w:hAnsi="Times New Roman" w:cs="Times New Roman (Body CS)"/>
          <w:bCs/>
        </w:rPr>
        <w:t xml:space="preserve"> </w:t>
      </w:r>
      <w:r>
        <w:rPr>
          <w:rFonts w:ascii="Times New Roman" w:hAnsi="Times New Roman" w:cs="Times New Roman (Body CS)"/>
          <w:bCs/>
        </w:rPr>
        <w:t>online threats to these intellectual assets.</w:t>
      </w:r>
      <w:r w:rsidR="00AA1723">
        <w:rPr>
          <w:rStyle w:val="FootnoteReference"/>
          <w:rFonts w:ascii="Times New Roman" w:hAnsi="Times New Roman" w:cs="Times New Roman (Body CS)"/>
          <w:bCs/>
        </w:rPr>
        <w:footnoteReference w:id="1"/>
      </w:r>
      <w:r>
        <w:rPr>
          <w:rFonts w:ascii="Times New Roman" w:hAnsi="Times New Roman" w:cs="Times New Roman (Body CS)"/>
          <w:bCs/>
        </w:rPr>
        <w:t xml:space="preserve"> </w:t>
      </w:r>
      <w:r w:rsidR="00AA1723">
        <w:rPr>
          <w:rFonts w:ascii="Times New Roman" w:hAnsi="Times New Roman" w:cs="Times New Roman (Body CS)"/>
          <w:bCs/>
        </w:rPr>
        <w:t xml:space="preserve">Research undertaken by IP Wales </w:t>
      </w:r>
      <w:r w:rsidR="0074214A">
        <w:rPr>
          <w:rFonts w:ascii="Times New Roman" w:hAnsi="Times New Roman" w:cs="Times New Roman (Body CS)"/>
          <w:bCs/>
        </w:rPr>
        <w:t xml:space="preserve">on behalf of </w:t>
      </w:r>
      <w:r w:rsidR="00AA1723">
        <w:rPr>
          <w:rFonts w:ascii="Times New Roman" w:hAnsi="Times New Roman" w:cs="Times New Roman (Body CS)"/>
          <w:bCs/>
        </w:rPr>
        <w:t>the Welsh Government found s</w:t>
      </w:r>
      <w:r>
        <w:rPr>
          <w:rFonts w:ascii="Times New Roman" w:hAnsi="Times New Roman" w:cs="Times New Roman (Body CS)"/>
          <w:bCs/>
        </w:rPr>
        <w:t xml:space="preserve">mall to medium sized enterprises (SMEs) </w:t>
      </w:r>
      <w:r w:rsidR="00AA1723">
        <w:rPr>
          <w:rFonts w:ascii="Times New Roman" w:hAnsi="Times New Roman" w:cs="Times New Roman (Body CS)"/>
          <w:bCs/>
        </w:rPr>
        <w:t>to be</w:t>
      </w:r>
      <w:r w:rsidRPr="00A95BC2">
        <w:rPr>
          <w:rFonts w:ascii="Times New Roman" w:hAnsi="Times New Roman" w:cs="Times New Roman (Body CS)"/>
          <w:bCs/>
        </w:rPr>
        <w:t xml:space="preserve"> particularly vulnerable to cyberattacks, with many taking little or no precautions against cyber threats in the mistaken belief that they </w:t>
      </w:r>
      <w:r w:rsidR="00645F58">
        <w:rPr>
          <w:rFonts w:ascii="Times New Roman" w:hAnsi="Times New Roman" w:cs="Times New Roman (Body CS)"/>
          <w:bCs/>
        </w:rPr>
        <w:t>were</w:t>
      </w:r>
      <w:r w:rsidRPr="00A95BC2">
        <w:rPr>
          <w:rFonts w:ascii="Times New Roman" w:hAnsi="Times New Roman" w:cs="Times New Roman (Body CS)"/>
          <w:bCs/>
        </w:rPr>
        <w:t xml:space="preserve"> too small to attract the cybercriminal’s attention, or that they d</w:t>
      </w:r>
      <w:r w:rsidR="00645F58">
        <w:rPr>
          <w:rFonts w:ascii="Times New Roman" w:hAnsi="Times New Roman" w:cs="Times New Roman (Body CS)"/>
          <w:bCs/>
        </w:rPr>
        <w:t>id</w:t>
      </w:r>
      <w:r>
        <w:rPr>
          <w:rFonts w:ascii="Times New Roman" w:hAnsi="Times New Roman" w:cs="Times New Roman (Body CS)"/>
          <w:bCs/>
        </w:rPr>
        <w:t xml:space="preserve"> </w:t>
      </w:r>
      <w:r w:rsidRPr="00A95BC2">
        <w:rPr>
          <w:rFonts w:ascii="Times New Roman" w:hAnsi="Times New Roman" w:cs="Times New Roman (Body CS)"/>
          <w:bCs/>
        </w:rPr>
        <w:t>n</w:t>
      </w:r>
      <w:r>
        <w:rPr>
          <w:rFonts w:ascii="Times New Roman" w:hAnsi="Times New Roman" w:cs="Times New Roman (Body CS)"/>
          <w:bCs/>
        </w:rPr>
        <w:t>o</w:t>
      </w:r>
      <w:r w:rsidRPr="00A95BC2">
        <w:rPr>
          <w:rFonts w:ascii="Times New Roman" w:hAnsi="Times New Roman" w:cs="Times New Roman (Body CS)"/>
          <w:bCs/>
        </w:rPr>
        <w:t xml:space="preserve">t possess </w:t>
      </w:r>
      <w:r w:rsidR="00645F58">
        <w:rPr>
          <w:rFonts w:ascii="Times New Roman" w:hAnsi="Times New Roman" w:cs="Times New Roman (Body CS)"/>
          <w:bCs/>
        </w:rPr>
        <w:t xml:space="preserve">any </w:t>
      </w:r>
      <w:r w:rsidRPr="00A95BC2">
        <w:rPr>
          <w:rFonts w:ascii="Times New Roman" w:hAnsi="Times New Roman" w:cs="Times New Roman (Body CS)"/>
          <w:bCs/>
        </w:rPr>
        <w:t>data worth stealing.</w:t>
      </w:r>
      <w:r>
        <w:rPr>
          <w:rStyle w:val="FootnoteReference"/>
          <w:rFonts w:ascii="Times New Roman" w:hAnsi="Times New Roman" w:cs="Times New Roman (Body CS)"/>
          <w:bCs/>
        </w:rPr>
        <w:footnoteReference w:id="2"/>
      </w:r>
    </w:p>
    <w:p w:rsidR="00D51BD1" w:rsidRPr="008F7370" w:rsidRDefault="00645F58" w:rsidP="005B06D0">
      <w:pPr>
        <w:spacing w:line="480" w:lineRule="auto"/>
        <w:rPr>
          <w:rFonts w:ascii="Times New Roman" w:hAnsi="Times New Roman" w:cs="Times New Roman (Body CS)"/>
        </w:rPr>
      </w:pPr>
      <w:r>
        <w:rPr>
          <w:rFonts w:ascii="Times New Roman" w:hAnsi="Times New Roman" w:cs="Times New Roman (Body CS)"/>
        </w:rPr>
        <w:t xml:space="preserve">This is not true today. </w:t>
      </w:r>
      <w:r w:rsidR="008F7370" w:rsidRPr="008F7370">
        <w:rPr>
          <w:rFonts w:ascii="Times New Roman" w:hAnsi="Times New Roman" w:cs="Times New Roman (Body CS)"/>
        </w:rPr>
        <w:t>In th</w:t>
      </w:r>
      <w:r>
        <w:rPr>
          <w:rFonts w:ascii="Times New Roman" w:hAnsi="Times New Roman" w:cs="Times New Roman (Body CS)"/>
        </w:rPr>
        <w:t>e</w:t>
      </w:r>
      <w:r w:rsidR="008F7370" w:rsidRPr="008F7370">
        <w:rPr>
          <w:rFonts w:ascii="Times New Roman" w:hAnsi="Times New Roman" w:cs="Times New Roman (Body CS)"/>
        </w:rPr>
        <w:t xml:space="preserve"> </w:t>
      </w:r>
      <w:r w:rsidR="00D51BD1">
        <w:rPr>
          <w:rFonts w:ascii="Times New Roman" w:hAnsi="Times New Roman" w:cs="Times New Roman (Body CS)"/>
        </w:rPr>
        <w:t>d</w:t>
      </w:r>
      <w:r w:rsidR="008F7370" w:rsidRPr="008F7370">
        <w:rPr>
          <w:rFonts w:ascii="Times New Roman" w:hAnsi="Times New Roman" w:cs="Times New Roman (Body CS)"/>
        </w:rPr>
        <w:t xml:space="preserve">igital </w:t>
      </w:r>
      <w:r>
        <w:rPr>
          <w:rFonts w:ascii="Times New Roman" w:hAnsi="Times New Roman" w:cs="Times New Roman (Body CS)"/>
        </w:rPr>
        <w:t>era</w:t>
      </w:r>
      <w:r w:rsidR="008F7370" w:rsidRPr="008F7370">
        <w:rPr>
          <w:rFonts w:ascii="Times New Roman" w:hAnsi="Times New Roman" w:cs="Times New Roman (Body CS)"/>
        </w:rPr>
        <w:t>, data is the prize for cybercriminal</w:t>
      </w:r>
      <w:r>
        <w:rPr>
          <w:rFonts w:ascii="Times New Roman" w:hAnsi="Times New Roman" w:cs="Times New Roman (Body CS)"/>
        </w:rPr>
        <w:t>s</w:t>
      </w:r>
      <w:r w:rsidR="008F7370" w:rsidRPr="008F7370">
        <w:rPr>
          <w:rFonts w:ascii="Times New Roman" w:hAnsi="Times New Roman" w:cs="Times New Roman (Body CS)"/>
        </w:rPr>
        <w:t xml:space="preserve"> and any data which is of value to </w:t>
      </w:r>
      <w:r w:rsidR="008F7370">
        <w:rPr>
          <w:rFonts w:ascii="Times New Roman" w:hAnsi="Times New Roman" w:cs="Times New Roman (Body CS)"/>
        </w:rPr>
        <w:t>a</w:t>
      </w:r>
      <w:r w:rsidR="00D74D35">
        <w:rPr>
          <w:rFonts w:ascii="Times New Roman" w:hAnsi="Times New Roman" w:cs="Times New Roman (Body CS)"/>
        </w:rPr>
        <w:t>ny</w:t>
      </w:r>
      <w:r w:rsidR="00D51BD1">
        <w:rPr>
          <w:rFonts w:ascii="Times New Roman" w:hAnsi="Times New Roman" w:cs="Times New Roman (Body CS)"/>
        </w:rPr>
        <w:t xml:space="preserve"> </w:t>
      </w:r>
      <w:r w:rsidR="00BA6B46">
        <w:rPr>
          <w:rFonts w:ascii="Times New Roman" w:hAnsi="Times New Roman" w:cs="Times New Roman (Body CS)"/>
        </w:rPr>
        <w:t>company</w:t>
      </w:r>
      <w:r w:rsidR="005C44E9">
        <w:rPr>
          <w:rFonts w:ascii="Times New Roman" w:hAnsi="Times New Roman" w:cs="Times New Roman (Body CS)"/>
        </w:rPr>
        <w:t xml:space="preserve"> is</w:t>
      </w:r>
      <w:r w:rsidR="0074214A">
        <w:rPr>
          <w:rFonts w:ascii="Times New Roman" w:hAnsi="Times New Roman" w:cs="Times New Roman (Body CS)"/>
        </w:rPr>
        <w:t xml:space="preserve"> </w:t>
      </w:r>
      <w:r w:rsidR="008F7370" w:rsidRPr="008F7370">
        <w:rPr>
          <w:rFonts w:ascii="Times New Roman" w:hAnsi="Times New Roman" w:cs="Times New Roman (Body CS)"/>
        </w:rPr>
        <w:t>a worthwhile target</w:t>
      </w:r>
      <w:r>
        <w:rPr>
          <w:rFonts w:ascii="Times New Roman" w:hAnsi="Times New Roman" w:cs="Times New Roman (Body CS)"/>
        </w:rPr>
        <w:t xml:space="preserve"> for them</w:t>
      </w:r>
      <w:r w:rsidR="005C44E9">
        <w:rPr>
          <w:rFonts w:ascii="Times New Roman" w:hAnsi="Times New Roman" w:cs="Times New Roman (Body CS)"/>
        </w:rPr>
        <w:t>. Such data m</w:t>
      </w:r>
      <w:r w:rsidR="00DD1CB4">
        <w:rPr>
          <w:rFonts w:ascii="Times New Roman" w:hAnsi="Times New Roman" w:cs="Times New Roman (Body CS)"/>
        </w:rPr>
        <w:t>ay</w:t>
      </w:r>
      <w:r w:rsidR="008F7370" w:rsidRPr="008F7370">
        <w:rPr>
          <w:rFonts w:ascii="Times New Roman" w:hAnsi="Times New Roman" w:cs="Times New Roman (Body CS)"/>
        </w:rPr>
        <w:t xml:space="preserve"> includ</w:t>
      </w:r>
      <w:r w:rsidR="005C44E9">
        <w:rPr>
          <w:rFonts w:ascii="Times New Roman" w:hAnsi="Times New Roman" w:cs="Times New Roman (Body CS)"/>
        </w:rPr>
        <w:t>e</w:t>
      </w:r>
      <w:r>
        <w:rPr>
          <w:rFonts w:ascii="Times New Roman" w:hAnsi="Times New Roman" w:cs="Times New Roman (Body CS)"/>
        </w:rPr>
        <w:t xml:space="preserve"> any of the following: </w:t>
      </w:r>
      <w:r w:rsidR="008F7370" w:rsidRPr="008F7370">
        <w:rPr>
          <w:rFonts w:ascii="Times New Roman" w:hAnsi="Times New Roman" w:cs="Times New Roman (Body CS)"/>
        </w:rPr>
        <w:t>technical &amp; scientific</w:t>
      </w:r>
      <w:r w:rsidR="004E4117">
        <w:rPr>
          <w:rFonts w:ascii="Times New Roman" w:hAnsi="Times New Roman" w:cs="Times New Roman (Body CS)"/>
        </w:rPr>
        <w:t xml:space="preserve"> information</w:t>
      </w:r>
      <w:r w:rsidR="008F7370" w:rsidRPr="008F7370">
        <w:rPr>
          <w:rFonts w:ascii="Times New Roman" w:hAnsi="Times New Roman" w:cs="Times New Roman (Body CS)"/>
        </w:rPr>
        <w:t xml:space="preserve"> </w:t>
      </w:r>
      <w:r w:rsidR="00D51BD1">
        <w:rPr>
          <w:rFonts w:ascii="Times New Roman" w:hAnsi="Times New Roman" w:cs="Times New Roman (Body CS)"/>
        </w:rPr>
        <w:t>(especially know-how)</w:t>
      </w:r>
      <w:r w:rsidR="00DA3234">
        <w:rPr>
          <w:rFonts w:ascii="Times New Roman" w:hAnsi="Times New Roman" w:cs="Times New Roman (Body CS)"/>
        </w:rPr>
        <w:t>;</w:t>
      </w:r>
      <w:r w:rsidR="00D51BD1">
        <w:rPr>
          <w:rFonts w:ascii="Times New Roman" w:hAnsi="Times New Roman" w:cs="Times New Roman (Body CS)"/>
        </w:rPr>
        <w:t xml:space="preserve"> </w:t>
      </w:r>
      <w:r w:rsidR="008F7370" w:rsidRPr="008F7370">
        <w:rPr>
          <w:rFonts w:ascii="Times New Roman" w:hAnsi="Times New Roman" w:cs="Times New Roman (Body CS)"/>
        </w:rPr>
        <w:t xml:space="preserve">commercial </w:t>
      </w:r>
      <w:r w:rsidR="004E4117">
        <w:rPr>
          <w:rFonts w:ascii="Times New Roman" w:hAnsi="Times New Roman" w:cs="Times New Roman (Body CS)"/>
        </w:rPr>
        <w:t xml:space="preserve">information </w:t>
      </w:r>
      <w:r w:rsidR="00D51BD1">
        <w:rPr>
          <w:rFonts w:ascii="Times New Roman" w:hAnsi="Times New Roman" w:cs="Times New Roman (Body CS)"/>
        </w:rPr>
        <w:t>(especially customer profiles)</w:t>
      </w:r>
      <w:r w:rsidR="00DA3234">
        <w:rPr>
          <w:rFonts w:ascii="Times New Roman" w:hAnsi="Times New Roman" w:cs="Times New Roman (Body CS)"/>
        </w:rPr>
        <w:t>;</w:t>
      </w:r>
      <w:r w:rsidR="00D51BD1">
        <w:rPr>
          <w:rFonts w:ascii="Times New Roman" w:hAnsi="Times New Roman" w:cs="Times New Roman (Body CS)"/>
        </w:rPr>
        <w:t xml:space="preserve"> </w:t>
      </w:r>
      <w:r>
        <w:rPr>
          <w:rFonts w:ascii="Times New Roman" w:hAnsi="Times New Roman" w:cs="Times New Roman (Body CS)"/>
        </w:rPr>
        <w:t xml:space="preserve">and </w:t>
      </w:r>
      <w:r w:rsidR="008F7370" w:rsidRPr="008F7370">
        <w:rPr>
          <w:rFonts w:ascii="Times New Roman" w:hAnsi="Times New Roman" w:cs="Times New Roman (Body CS)"/>
        </w:rPr>
        <w:t xml:space="preserve">financial </w:t>
      </w:r>
      <w:r w:rsidR="004E4117">
        <w:rPr>
          <w:rFonts w:ascii="Times New Roman" w:hAnsi="Times New Roman" w:cs="Times New Roman (Body CS)"/>
        </w:rPr>
        <w:t xml:space="preserve">information </w:t>
      </w:r>
      <w:r w:rsidR="00D51BD1">
        <w:rPr>
          <w:rFonts w:ascii="Times New Roman" w:hAnsi="Times New Roman" w:cs="Times New Roman (Body CS)"/>
        </w:rPr>
        <w:t>(</w:t>
      </w:r>
      <w:r>
        <w:rPr>
          <w:rFonts w:ascii="Times New Roman" w:hAnsi="Times New Roman" w:cs="Times New Roman (Body CS)"/>
        </w:rPr>
        <w:t>such as</w:t>
      </w:r>
      <w:r w:rsidR="00D51BD1">
        <w:rPr>
          <w:rFonts w:ascii="Times New Roman" w:hAnsi="Times New Roman" w:cs="Times New Roman (Body CS)"/>
        </w:rPr>
        <w:t xml:space="preserve"> </w:t>
      </w:r>
      <w:r w:rsidR="008F7370" w:rsidRPr="008F7370">
        <w:rPr>
          <w:rFonts w:ascii="Times New Roman" w:hAnsi="Times New Roman" w:cs="Times New Roman (Body CS)"/>
        </w:rPr>
        <w:t>customer credit card details</w:t>
      </w:r>
      <w:r w:rsidR="00D51BD1">
        <w:rPr>
          <w:rFonts w:ascii="Times New Roman" w:hAnsi="Times New Roman" w:cs="Times New Roman (Body CS)"/>
        </w:rPr>
        <w:t>)</w:t>
      </w:r>
      <w:r w:rsidR="0074214A">
        <w:rPr>
          <w:rFonts w:ascii="Times New Roman" w:hAnsi="Times New Roman" w:cs="Times New Roman (Body CS)"/>
        </w:rPr>
        <w:t>. Even</w:t>
      </w:r>
      <w:r w:rsidR="00D51BD1">
        <w:rPr>
          <w:rFonts w:ascii="Times New Roman" w:hAnsi="Times New Roman" w:cs="Times New Roman (Body CS)"/>
        </w:rPr>
        <w:t xml:space="preserve"> negative data </w:t>
      </w:r>
      <w:r>
        <w:rPr>
          <w:rFonts w:ascii="Times New Roman" w:hAnsi="Times New Roman" w:cs="Times New Roman (Body CS)"/>
        </w:rPr>
        <w:t>can have commercial value: for instance</w:t>
      </w:r>
      <w:r w:rsidR="00C84475">
        <w:rPr>
          <w:rFonts w:ascii="Times New Roman" w:hAnsi="Times New Roman" w:cs="Times New Roman (Body CS)"/>
        </w:rPr>
        <w:t xml:space="preserve">, </w:t>
      </w:r>
      <w:r w:rsidR="00D51BD1">
        <w:rPr>
          <w:rFonts w:ascii="Times New Roman" w:hAnsi="Times New Roman" w:cs="Times New Roman (Body CS)"/>
        </w:rPr>
        <w:t xml:space="preserve">research projects </w:t>
      </w:r>
      <w:r>
        <w:rPr>
          <w:rFonts w:ascii="Times New Roman" w:hAnsi="Times New Roman" w:cs="Times New Roman (Body CS)"/>
        </w:rPr>
        <w:t>which have culminated in a dead end or</w:t>
      </w:r>
      <w:r w:rsidR="00D51BD1">
        <w:rPr>
          <w:rFonts w:ascii="Times New Roman" w:hAnsi="Times New Roman" w:cs="Times New Roman (Body CS)"/>
        </w:rPr>
        <w:t xml:space="preserve"> failed manufacturing processes.</w:t>
      </w:r>
    </w:p>
    <w:p w:rsidR="00DA3234" w:rsidRPr="004A5EE3" w:rsidRDefault="00DA3234" w:rsidP="00DA3234">
      <w:pPr>
        <w:spacing w:line="480" w:lineRule="auto"/>
        <w:rPr>
          <w:rFonts w:ascii="Times New Roman" w:hAnsi="Times New Roman" w:cs="Times New Roman (Body CS)"/>
        </w:rPr>
      </w:pPr>
      <w:r>
        <w:rPr>
          <w:rFonts w:ascii="Times New Roman" w:hAnsi="Times New Roman" w:cs="Times New Roman (Body CS)"/>
        </w:rPr>
        <w:t xml:space="preserve">Governments are increasingly coming to </w:t>
      </w:r>
      <w:r w:rsidR="004A27DC">
        <w:rPr>
          <w:rFonts w:ascii="Times New Roman" w:hAnsi="Times New Roman" w:cs="Times New Roman (Body CS)"/>
        </w:rPr>
        <w:t xml:space="preserve">follow the </w:t>
      </w:r>
      <w:r w:rsidR="0074214A">
        <w:rPr>
          <w:rFonts w:ascii="Times New Roman" w:hAnsi="Times New Roman" w:cs="Times New Roman (Body CS)"/>
        </w:rPr>
        <w:t xml:space="preserve">policy lead from </w:t>
      </w:r>
      <w:r w:rsidR="00645F58">
        <w:rPr>
          <w:rFonts w:ascii="Times New Roman" w:hAnsi="Times New Roman" w:cs="Times New Roman (Body CS)"/>
        </w:rPr>
        <w:t xml:space="preserve">the </w:t>
      </w:r>
      <w:r w:rsidR="004A27DC">
        <w:rPr>
          <w:rFonts w:ascii="Times New Roman" w:hAnsi="Times New Roman" w:cs="Times New Roman (Body CS)"/>
        </w:rPr>
        <w:t>US</w:t>
      </w:r>
      <w:r w:rsidR="0074214A">
        <w:rPr>
          <w:rFonts w:ascii="Times New Roman" w:hAnsi="Times New Roman" w:cs="Times New Roman (Body CS)"/>
        </w:rPr>
        <w:t>A</w:t>
      </w:r>
      <w:r w:rsidR="004A27DC">
        <w:rPr>
          <w:rFonts w:ascii="Times New Roman" w:hAnsi="Times New Roman" w:cs="Times New Roman (Body CS)"/>
        </w:rPr>
        <w:t xml:space="preserve"> </w:t>
      </w:r>
      <w:r w:rsidR="00D74D35">
        <w:rPr>
          <w:rFonts w:ascii="Times New Roman" w:hAnsi="Times New Roman" w:cs="Times New Roman (Body CS)"/>
        </w:rPr>
        <w:t>and</w:t>
      </w:r>
      <w:r w:rsidR="004A27DC">
        <w:rPr>
          <w:rFonts w:ascii="Times New Roman" w:hAnsi="Times New Roman" w:cs="Times New Roman (Body CS)"/>
        </w:rPr>
        <w:t xml:space="preserve"> </w:t>
      </w:r>
      <w:r>
        <w:rPr>
          <w:rFonts w:ascii="Times New Roman" w:hAnsi="Times New Roman" w:cs="Times New Roman (Body CS)"/>
        </w:rPr>
        <w:t>recognise</w:t>
      </w:r>
      <w:r w:rsidR="00D74D35">
        <w:rPr>
          <w:rFonts w:ascii="Times New Roman" w:hAnsi="Times New Roman" w:cs="Times New Roman (Body CS)"/>
        </w:rPr>
        <w:t xml:space="preserve"> that</w:t>
      </w:r>
      <w:r w:rsidRPr="004A5EE3">
        <w:rPr>
          <w:rFonts w:ascii="Times New Roman" w:hAnsi="Times New Roman" w:cs="Times New Roman (Body CS)"/>
        </w:rPr>
        <w:t xml:space="preserve">, “trade secrets may constitute the </w:t>
      </w:r>
      <w:r w:rsidRPr="004A5EE3">
        <w:rPr>
          <w:rFonts w:ascii="Times New Roman" w:hAnsi="Times New Roman" w:cs="Times New Roman (Body CS)"/>
          <w:b/>
          <w:bCs/>
          <w:i/>
          <w:iCs/>
        </w:rPr>
        <w:t>most</w:t>
      </w:r>
      <w:r w:rsidRPr="004A5EE3">
        <w:rPr>
          <w:rFonts w:ascii="Times New Roman" w:hAnsi="Times New Roman" w:cs="Times New Roman (Body CS)"/>
        </w:rPr>
        <w:t xml:space="preserve"> critical intellectual assets…effective protection of trade secrets is especially important for mSMEs, which may be disproportionately affected by and less able to recover from a misappropriation compared to larger enterprises</w:t>
      </w:r>
      <w:r w:rsidR="00A145DA">
        <w:rPr>
          <w:rFonts w:ascii="Times New Roman" w:hAnsi="Times New Roman" w:cs="Times New Roman (Body CS)"/>
        </w:rPr>
        <w:t>.</w:t>
      </w:r>
      <w:r w:rsidRPr="004A5EE3">
        <w:rPr>
          <w:rFonts w:ascii="Times New Roman" w:hAnsi="Times New Roman" w:cs="Times New Roman (Body CS)"/>
        </w:rPr>
        <w:t>”</w:t>
      </w:r>
      <w:r>
        <w:rPr>
          <w:rStyle w:val="FootnoteReference"/>
          <w:rFonts w:ascii="Times New Roman" w:hAnsi="Times New Roman" w:cs="Times New Roman (Body CS)"/>
        </w:rPr>
        <w:footnoteReference w:id="3"/>
      </w:r>
      <w:r w:rsidR="00151614">
        <w:rPr>
          <w:rFonts w:ascii="Times New Roman" w:hAnsi="Times New Roman" w:cs="Times New Roman (Body CS)"/>
        </w:rPr>
        <w:t xml:space="preserve"> </w:t>
      </w:r>
    </w:p>
    <w:p w:rsidR="00645F58" w:rsidRDefault="00DA3234" w:rsidP="005B06D0">
      <w:pPr>
        <w:pStyle w:val="NormalWeb"/>
        <w:spacing w:line="480" w:lineRule="auto"/>
        <w:rPr>
          <w:color w:val="000000"/>
        </w:rPr>
      </w:pPr>
      <w:r w:rsidRPr="00A7146C">
        <w:rPr>
          <w:color w:val="000000"/>
        </w:rPr>
        <w:lastRenderedPageBreak/>
        <w:t xml:space="preserve">In </w:t>
      </w:r>
      <w:r>
        <w:rPr>
          <w:i/>
          <w:iCs/>
          <w:color w:val="000000"/>
        </w:rPr>
        <w:t>t</w:t>
      </w:r>
      <w:r w:rsidRPr="00A7146C">
        <w:rPr>
          <w:i/>
          <w:iCs/>
          <w:color w:val="000000"/>
        </w:rPr>
        <w:t>he Protection of Data in our Digital Age</w:t>
      </w:r>
      <w:r w:rsidR="00645F58">
        <w:rPr>
          <w:i/>
          <w:iCs/>
          <w:color w:val="000000"/>
        </w:rPr>
        <w:t xml:space="preserve"> </w:t>
      </w:r>
      <w:r w:rsidR="00645F58">
        <w:rPr>
          <w:rStyle w:val="FootnoteReference"/>
          <w:i/>
          <w:iCs/>
          <w:color w:val="000000"/>
        </w:rPr>
        <w:footnoteReference w:id="4"/>
      </w:r>
      <w:r w:rsidRPr="00A7146C">
        <w:rPr>
          <w:i/>
          <w:iCs/>
          <w:color w:val="000000"/>
        </w:rPr>
        <w:t xml:space="preserve"> </w:t>
      </w:r>
      <w:r w:rsidR="00645F58">
        <w:rPr>
          <w:color w:val="000000"/>
        </w:rPr>
        <w:t xml:space="preserve">one of </w:t>
      </w:r>
      <w:r>
        <w:rPr>
          <w:color w:val="000000"/>
        </w:rPr>
        <w:t xml:space="preserve">the </w:t>
      </w:r>
      <w:r w:rsidR="00645F58">
        <w:rPr>
          <w:color w:val="000000"/>
        </w:rPr>
        <w:t xml:space="preserve">present </w:t>
      </w:r>
      <w:r>
        <w:rPr>
          <w:color w:val="000000"/>
        </w:rPr>
        <w:t>authors note</w:t>
      </w:r>
      <w:r w:rsidR="00645F58">
        <w:rPr>
          <w:color w:val="000000"/>
        </w:rPr>
        <w:t>d as follows:</w:t>
      </w:r>
    </w:p>
    <w:p w:rsidR="00D74D35" w:rsidRDefault="0074214A" w:rsidP="00645F58">
      <w:pPr>
        <w:pStyle w:val="NormalWeb"/>
        <w:spacing w:line="480" w:lineRule="auto"/>
        <w:ind w:left="720"/>
        <w:rPr>
          <w:color w:val="000000"/>
        </w:rPr>
      </w:pPr>
      <w:r>
        <w:rPr>
          <w:color w:val="000000"/>
        </w:rPr>
        <w:t xml:space="preserve"> “</w:t>
      </w:r>
      <w:r w:rsidR="00645F58">
        <w:rPr>
          <w:color w:val="000000"/>
        </w:rPr>
        <w:t>[I]</w:t>
      </w:r>
      <w:r w:rsidR="00DA3234" w:rsidRPr="00DE3FF9">
        <w:rPr>
          <w:color w:val="000000"/>
        </w:rPr>
        <w:t>n large measure the existing legal protection of trade secrets data is limited due to a low level of legal protection</w:t>
      </w:r>
      <w:r w:rsidR="00DA3234">
        <w:rPr>
          <w:color w:val="000000"/>
        </w:rPr>
        <w:t>,</w:t>
      </w:r>
      <w:r w:rsidR="00DA3234" w:rsidRPr="00DE3FF9">
        <w:rPr>
          <w:rStyle w:val="FootnoteReference"/>
          <w:color w:val="000000"/>
        </w:rPr>
        <w:footnoteReference w:id="5"/>
      </w:r>
      <w:r w:rsidR="00DA3234" w:rsidRPr="00DE3FF9">
        <w:rPr>
          <w:color w:val="000000"/>
        </w:rPr>
        <w:t xml:space="preserve"> issues of legal fragmentation both across and within differing legal jurisdictions around the world and problems associated with poor civil redress and criminal enforcement, including a failure to protect the confidentiality of trade secrets during legal proceedings. Difficulties in finding an agreed understanding of </w:t>
      </w:r>
      <w:r>
        <w:rPr>
          <w:color w:val="000000"/>
        </w:rPr>
        <w:t>‘</w:t>
      </w:r>
      <w:r w:rsidR="00DA3234" w:rsidRPr="00DE3FF9">
        <w:rPr>
          <w:color w:val="000000"/>
        </w:rPr>
        <w:t>trade secrets</w:t>
      </w:r>
      <w:r>
        <w:rPr>
          <w:color w:val="000000"/>
        </w:rPr>
        <w:t>’</w:t>
      </w:r>
      <w:r w:rsidR="00DA3234" w:rsidRPr="00DE3FF9">
        <w:rPr>
          <w:color w:val="000000"/>
        </w:rPr>
        <w:t xml:space="preserve"> and </w:t>
      </w:r>
      <w:r>
        <w:rPr>
          <w:color w:val="000000"/>
        </w:rPr>
        <w:t>‘</w:t>
      </w:r>
      <w:r w:rsidR="00DA3234" w:rsidRPr="00DE3FF9">
        <w:rPr>
          <w:color w:val="000000"/>
        </w:rPr>
        <w:t>know-how</w:t>
      </w:r>
      <w:r>
        <w:rPr>
          <w:color w:val="000000"/>
        </w:rPr>
        <w:t>’</w:t>
      </w:r>
      <w:r w:rsidR="00DA3234" w:rsidRPr="00DE3FF9">
        <w:rPr>
          <w:color w:val="000000"/>
        </w:rPr>
        <w:t xml:space="preserve"> resulted in TRIPS</w:t>
      </w:r>
      <w:r w:rsidR="00D74D35">
        <w:rPr>
          <w:rStyle w:val="FootnoteReference"/>
          <w:color w:val="000000"/>
        </w:rPr>
        <w:footnoteReference w:id="6"/>
      </w:r>
      <w:r>
        <w:rPr>
          <w:color w:val="000000"/>
        </w:rPr>
        <w:t xml:space="preserve"> </w:t>
      </w:r>
      <w:r w:rsidR="00DA3234" w:rsidRPr="00DE3FF9">
        <w:rPr>
          <w:color w:val="000000"/>
        </w:rPr>
        <w:t xml:space="preserve">adopting the more neutral term </w:t>
      </w:r>
      <w:r>
        <w:rPr>
          <w:color w:val="000000"/>
        </w:rPr>
        <w:t>‘</w:t>
      </w:r>
      <w:r w:rsidR="00DA3234" w:rsidRPr="00DE3FF9">
        <w:rPr>
          <w:color w:val="000000"/>
        </w:rPr>
        <w:t>undisclosed information</w:t>
      </w:r>
      <w:r>
        <w:rPr>
          <w:color w:val="000000"/>
        </w:rPr>
        <w:t>’</w:t>
      </w:r>
      <w:r w:rsidR="00DA3234" w:rsidRPr="00DE3FF9">
        <w:rPr>
          <w:color w:val="000000"/>
        </w:rPr>
        <w:t>, whilst at the same time refusing to offer any legal definition as to its meaning. In consequence, a recent study by the World Trade Organi</w:t>
      </w:r>
      <w:r w:rsidR="00DA3234">
        <w:rPr>
          <w:color w:val="000000"/>
        </w:rPr>
        <w:t>s</w:t>
      </w:r>
      <w:r w:rsidR="00DA3234" w:rsidRPr="00DE3FF9">
        <w:rPr>
          <w:color w:val="000000"/>
        </w:rPr>
        <w:t>ation has found that legal protection of confidential information in member states today derives from over 25 different fields of law</w:t>
      </w:r>
      <w:r w:rsidR="00DA3234">
        <w:rPr>
          <w:color w:val="000000"/>
        </w:rPr>
        <w:t>.</w:t>
      </w:r>
      <w:r w:rsidR="00DA3234" w:rsidRPr="00DE3FF9">
        <w:rPr>
          <w:rStyle w:val="FootnoteReference"/>
          <w:color w:val="000000"/>
        </w:rPr>
        <w:footnoteReference w:id="7"/>
      </w:r>
      <w:r w:rsidR="00DA3234" w:rsidRPr="00DE3FF9">
        <w:rPr>
          <w:color w:val="000000"/>
        </w:rPr>
        <w:t xml:space="preserve"> Moreover, TRIPS was negotiated at a time when the usage and storage of digital data was in its infancy, a global economy underpinned by employee mobility was still in creation and the notion of globally dispersed research and development driven by what was to become known as </w:t>
      </w:r>
      <w:r>
        <w:rPr>
          <w:color w:val="000000"/>
        </w:rPr>
        <w:t>‘</w:t>
      </w:r>
      <w:r w:rsidR="00DA3234" w:rsidRPr="00DE3FF9">
        <w:rPr>
          <w:color w:val="000000"/>
        </w:rPr>
        <w:t>open innovation</w:t>
      </w:r>
      <w:r>
        <w:rPr>
          <w:color w:val="000000"/>
        </w:rPr>
        <w:t>’</w:t>
      </w:r>
      <w:r w:rsidR="00DA3234" w:rsidRPr="00DE3FF9">
        <w:rPr>
          <w:color w:val="000000"/>
        </w:rPr>
        <w:t xml:space="preserve"> remained still to be discovered by the boards of most large multi-national corporations</w:t>
      </w:r>
      <w:r w:rsidR="00A145DA">
        <w:rPr>
          <w:color w:val="000000"/>
        </w:rPr>
        <w:t>.</w:t>
      </w:r>
      <w:r w:rsidR="00DA3234">
        <w:rPr>
          <w:color w:val="000000"/>
        </w:rPr>
        <w:t>”</w:t>
      </w:r>
    </w:p>
    <w:p w:rsidR="001E1A94" w:rsidRPr="005B06D0" w:rsidRDefault="005C44E9" w:rsidP="005B06D0">
      <w:pPr>
        <w:pStyle w:val="NormalWeb"/>
        <w:spacing w:line="480" w:lineRule="auto"/>
        <w:rPr>
          <w:color w:val="000000"/>
        </w:rPr>
      </w:pPr>
      <w:r>
        <w:rPr>
          <w:color w:val="000000"/>
        </w:rPr>
        <w:lastRenderedPageBreak/>
        <w:t xml:space="preserve">In </w:t>
      </w:r>
      <w:r w:rsidR="004E4117">
        <w:rPr>
          <w:color w:val="000000"/>
        </w:rPr>
        <w:t xml:space="preserve">attempting to address </w:t>
      </w:r>
      <w:r>
        <w:rPr>
          <w:color w:val="000000"/>
        </w:rPr>
        <w:t>th</w:t>
      </w:r>
      <w:r w:rsidR="004A27DC">
        <w:rPr>
          <w:color w:val="000000"/>
        </w:rPr>
        <w:t>is</w:t>
      </w:r>
      <w:r>
        <w:rPr>
          <w:color w:val="000000"/>
        </w:rPr>
        <w:t xml:space="preserve"> deficit </w:t>
      </w:r>
      <w:r w:rsidR="004A27DC">
        <w:rPr>
          <w:color w:val="000000"/>
        </w:rPr>
        <w:t xml:space="preserve">in </w:t>
      </w:r>
      <w:r w:rsidR="004E4117">
        <w:rPr>
          <w:color w:val="000000"/>
        </w:rPr>
        <w:t xml:space="preserve">the </w:t>
      </w:r>
      <w:r>
        <w:rPr>
          <w:color w:val="000000"/>
        </w:rPr>
        <w:t xml:space="preserve">legal protection </w:t>
      </w:r>
      <w:r w:rsidR="0074214A">
        <w:rPr>
          <w:color w:val="000000"/>
        </w:rPr>
        <w:t>of</w:t>
      </w:r>
      <w:r>
        <w:rPr>
          <w:color w:val="000000"/>
        </w:rPr>
        <w:t xml:space="preserve"> trade secret data the EU Commission introduced </w:t>
      </w:r>
      <w:r w:rsidRPr="000612C8">
        <w:rPr>
          <w:rFonts w:cs="Times New Roman (Body CS)"/>
          <w:color w:val="000000" w:themeColor="text1"/>
        </w:rPr>
        <w:t xml:space="preserve">Directive 2016/943 </w:t>
      </w:r>
      <w:r w:rsidRPr="000612C8">
        <w:rPr>
          <w:rFonts w:cs="Times New Roman (Body CS)"/>
          <w:i/>
          <w:iCs/>
          <w:color w:val="000000" w:themeColor="text1"/>
        </w:rPr>
        <w:t>on the protection of undisclosed know-how and business information (trade secrets) against their unlawful acquisition, use and disclosure</w:t>
      </w:r>
      <w:r w:rsidR="00131C6E">
        <w:rPr>
          <w:rFonts w:cs="Times New Roman (Body CS)"/>
          <w:color w:val="000000" w:themeColor="text1"/>
        </w:rPr>
        <w:t xml:space="preserve"> (</w:t>
      </w:r>
      <w:r w:rsidR="008323A0">
        <w:rPr>
          <w:rFonts w:cs="Times New Roman (Body CS)"/>
          <w:color w:val="000000" w:themeColor="text1"/>
        </w:rPr>
        <w:t xml:space="preserve">henceforth the </w:t>
      </w:r>
      <w:r w:rsidR="00131C6E">
        <w:rPr>
          <w:rFonts w:cs="Times New Roman (Body CS)"/>
          <w:color w:val="000000" w:themeColor="text1"/>
        </w:rPr>
        <w:t xml:space="preserve">EU Directive). </w:t>
      </w:r>
      <w:r>
        <w:rPr>
          <w:rFonts w:cs="Times New Roman (Body CS)"/>
          <w:color w:val="000000" w:themeColor="text1"/>
        </w:rPr>
        <w:t xml:space="preserve">This Directive was brought into force </w:t>
      </w:r>
      <w:r w:rsidR="0014571E">
        <w:rPr>
          <w:rFonts w:cs="Times New Roman (Body CS)"/>
          <w:color w:val="000000" w:themeColor="text1"/>
        </w:rPr>
        <w:t>within</w:t>
      </w:r>
      <w:r>
        <w:rPr>
          <w:rFonts w:cs="Times New Roman (Body CS)"/>
          <w:color w:val="000000" w:themeColor="text1"/>
        </w:rPr>
        <w:t xml:space="preserve"> t</w:t>
      </w:r>
      <w:r w:rsidRPr="000612C8">
        <w:rPr>
          <w:rFonts w:cs="Times New Roman (Body CS)"/>
          <w:color w:val="000000" w:themeColor="text1"/>
        </w:rPr>
        <w:t xml:space="preserve">he UK </w:t>
      </w:r>
      <w:r w:rsidR="008323A0">
        <w:rPr>
          <w:rFonts w:cs="Times New Roman (Body CS)"/>
          <w:color w:val="000000" w:themeColor="text1"/>
        </w:rPr>
        <w:t>by</w:t>
      </w:r>
      <w:r w:rsidR="0014571E">
        <w:rPr>
          <w:rFonts w:cs="Times New Roman (Body CS)"/>
          <w:color w:val="000000" w:themeColor="text1"/>
        </w:rPr>
        <w:t xml:space="preserve"> the </w:t>
      </w:r>
      <w:r w:rsidRPr="000612C8">
        <w:rPr>
          <w:rFonts w:cs="Times New Roman (Body CS)"/>
          <w:color w:val="000000" w:themeColor="text1"/>
        </w:rPr>
        <w:t>Trade Secrets (Enforcement</w:t>
      </w:r>
      <w:r>
        <w:rPr>
          <w:rFonts w:cs="Times New Roman (Body CS)"/>
          <w:color w:val="000000" w:themeColor="text1"/>
        </w:rPr>
        <w:t>,</w:t>
      </w:r>
      <w:r w:rsidRPr="000612C8">
        <w:rPr>
          <w:rFonts w:cs="Times New Roman (Body CS)"/>
          <w:color w:val="000000" w:themeColor="text1"/>
        </w:rPr>
        <w:t xml:space="preserve"> etc</w:t>
      </w:r>
      <w:r>
        <w:rPr>
          <w:rFonts w:cs="Times New Roman (Body CS)"/>
          <w:color w:val="000000" w:themeColor="text1"/>
        </w:rPr>
        <w:t>.</w:t>
      </w:r>
      <w:r w:rsidRPr="000612C8">
        <w:rPr>
          <w:rFonts w:cs="Times New Roman (Body CS)"/>
          <w:color w:val="000000" w:themeColor="text1"/>
        </w:rPr>
        <w:t>) Regulations 2018</w:t>
      </w:r>
      <w:r w:rsidRPr="000612C8">
        <w:rPr>
          <w:rStyle w:val="FootnoteReference"/>
          <w:rFonts w:cs="Times New Roman (Body CS)"/>
          <w:color w:val="000000" w:themeColor="text1"/>
        </w:rPr>
        <w:footnoteReference w:id="8"/>
      </w:r>
      <w:r w:rsidR="00B2585A">
        <w:rPr>
          <w:rFonts w:cs="Times New Roman (Body CS)"/>
          <w:color w:val="000000" w:themeColor="text1"/>
        </w:rPr>
        <w:t xml:space="preserve"> </w:t>
      </w:r>
      <w:r w:rsidR="00D74D35">
        <w:rPr>
          <w:rFonts w:cs="Times New Roman (Body CS)"/>
          <w:color w:val="000000" w:themeColor="text1"/>
        </w:rPr>
        <w:t>[</w:t>
      </w:r>
      <w:r w:rsidR="008323A0">
        <w:rPr>
          <w:rFonts w:cs="Times New Roman (Body CS)"/>
          <w:color w:val="000000" w:themeColor="text1"/>
        </w:rPr>
        <w:t xml:space="preserve">henceforth </w:t>
      </w:r>
      <w:r w:rsidR="00B2585A">
        <w:rPr>
          <w:rFonts w:cs="Times New Roman (Body CS)"/>
          <w:color w:val="000000" w:themeColor="text1"/>
        </w:rPr>
        <w:t xml:space="preserve">the </w:t>
      </w:r>
      <w:r w:rsidR="004E4117">
        <w:rPr>
          <w:rFonts w:cs="Times New Roman (Body CS)"/>
          <w:color w:val="000000" w:themeColor="text1"/>
        </w:rPr>
        <w:t xml:space="preserve">new </w:t>
      </w:r>
      <w:r w:rsidR="00B2585A">
        <w:rPr>
          <w:rFonts w:cs="Times New Roman (Body CS)"/>
          <w:color w:val="000000" w:themeColor="text1"/>
        </w:rPr>
        <w:t>Regulations</w:t>
      </w:r>
      <w:r w:rsidR="00D74D35">
        <w:rPr>
          <w:rFonts w:cs="Times New Roman (Body CS)"/>
          <w:color w:val="000000" w:themeColor="text1"/>
        </w:rPr>
        <w:t>]</w:t>
      </w:r>
      <w:r w:rsidR="004A27DC">
        <w:rPr>
          <w:rFonts w:cs="Times New Roman (Body CS)"/>
          <w:color w:val="000000" w:themeColor="text1"/>
        </w:rPr>
        <w:t>,</w:t>
      </w:r>
      <w:r w:rsidRPr="000612C8">
        <w:rPr>
          <w:rFonts w:cs="Times New Roman (Body CS)"/>
          <w:color w:val="000000" w:themeColor="text1"/>
        </w:rPr>
        <w:t xml:space="preserve"> </w:t>
      </w:r>
      <w:r w:rsidR="001E1A94">
        <w:rPr>
          <w:rFonts w:cs="Times New Roman (Body CS)"/>
          <w:color w:val="000000" w:themeColor="text1"/>
        </w:rPr>
        <w:t>which</w:t>
      </w:r>
      <w:r w:rsidR="004A27DC">
        <w:rPr>
          <w:rFonts w:cs="Times New Roman (Body CS)"/>
          <w:color w:val="000000" w:themeColor="text1"/>
        </w:rPr>
        <w:t xml:space="preserve"> </w:t>
      </w:r>
      <w:r w:rsidR="00075834">
        <w:rPr>
          <w:rFonts w:cs="Times New Roman (Body CS)"/>
          <w:color w:val="000000" w:themeColor="text1"/>
        </w:rPr>
        <w:t xml:space="preserve">for the first time </w:t>
      </w:r>
      <w:r w:rsidR="004A27DC">
        <w:rPr>
          <w:rFonts w:cs="Times New Roman (Body CS)"/>
          <w:color w:val="000000" w:themeColor="text1"/>
        </w:rPr>
        <w:t xml:space="preserve">has </w:t>
      </w:r>
      <w:r w:rsidR="00075834">
        <w:rPr>
          <w:rFonts w:cs="Times New Roman (Body CS)"/>
          <w:color w:val="000000" w:themeColor="text1"/>
        </w:rPr>
        <w:t>enshrined</w:t>
      </w:r>
      <w:r w:rsidR="004A27DC">
        <w:rPr>
          <w:rFonts w:cs="Times New Roman (Body CS)"/>
          <w:color w:val="000000" w:themeColor="text1"/>
        </w:rPr>
        <w:t xml:space="preserve"> into UK law a </w:t>
      </w:r>
      <w:r w:rsidR="001E1A94">
        <w:rPr>
          <w:rFonts w:cs="Times New Roman (Body CS)"/>
          <w:color w:val="000000" w:themeColor="text1"/>
        </w:rPr>
        <w:t xml:space="preserve">new </w:t>
      </w:r>
      <w:r w:rsidR="004A27DC">
        <w:rPr>
          <w:rFonts w:cs="Times New Roman (Body CS)"/>
          <w:color w:val="000000" w:themeColor="text1"/>
        </w:rPr>
        <w:t xml:space="preserve">statutory definition </w:t>
      </w:r>
      <w:r w:rsidR="00DD1CB4">
        <w:rPr>
          <w:rFonts w:cs="Times New Roman (Body CS)"/>
          <w:color w:val="000000" w:themeColor="text1"/>
        </w:rPr>
        <w:t>for</w:t>
      </w:r>
      <w:r w:rsidR="008323A0">
        <w:rPr>
          <w:rFonts w:cs="Times New Roman (Body CS)"/>
          <w:color w:val="000000" w:themeColor="text1"/>
        </w:rPr>
        <w:t xml:space="preserve"> a</w:t>
      </w:r>
      <w:r w:rsidR="004A27DC">
        <w:rPr>
          <w:rFonts w:cs="Times New Roman (Body CS)"/>
          <w:color w:val="000000" w:themeColor="text1"/>
        </w:rPr>
        <w:t xml:space="preserve"> “trade secret”</w:t>
      </w:r>
      <w:r w:rsidR="008323A0">
        <w:rPr>
          <w:rFonts w:cs="Times New Roman (Body CS)"/>
          <w:color w:val="000000" w:themeColor="text1"/>
        </w:rPr>
        <w:t>: namely,</w:t>
      </w:r>
      <w:r w:rsidR="001E1A94">
        <w:rPr>
          <w:rFonts w:cs="Times New Roman (Body CS)"/>
          <w:color w:val="000000" w:themeColor="text1"/>
        </w:rPr>
        <w:t xml:space="preserve"> as data which - </w:t>
      </w:r>
    </w:p>
    <w:p w:rsidR="001E1A94" w:rsidRPr="001E1A94" w:rsidRDefault="008323A0" w:rsidP="0014571E">
      <w:pPr>
        <w:pStyle w:val="NormalWeb"/>
        <w:spacing w:line="480" w:lineRule="auto"/>
        <w:rPr>
          <w:rFonts w:cs="Times New Roman (Body CS)"/>
          <w:i/>
          <w:iCs/>
          <w:color w:val="000000" w:themeColor="text1"/>
        </w:rPr>
      </w:pPr>
      <w:r>
        <w:rPr>
          <w:rFonts w:cs="Times New Roman (Body CS)"/>
          <w:i/>
          <w:iCs/>
          <w:color w:val="000000" w:themeColor="text1"/>
        </w:rPr>
        <w:t>“</w:t>
      </w:r>
      <w:r w:rsidR="001E1A94" w:rsidRPr="001E1A94">
        <w:rPr>
          <w:rFonts w:cs="Times New Roman (Body CS)"/>
          <w:i/>
          <w:iCs/>
          <w:color w:val="000000" w:themeColor="text1"/>
        </w:rPr>
        <w:t xml:space="preserve">(a) is </w:t>
      </w:r>
      <w:r w:rsidR="001E1A94" w:rsidRPr="00304BC5">
        <w:rPr>
          <w:rFonts w:cs="Times New Roman (Body CS)"/>
          <w:b/>
          <w:bCs/>
          <w:i/>
          <w:iCs/>
          <w:color w:val="000000" w:themeColor="text1"/>
        </w:rPr>
        <w:t>secret</w:t>
      </w:r>
      <w:r w:rsidR="001E1A94" w:rsidRPr="001E1A94">
        <w:rPr>
          <w:rFonts w:cs="Times New Roman (Body CS)"/>
          <w:i/>
          <w:iCs/>
          <w:color w:val="000000" w:themeColor="text1"/>
        </w:rPr>
        <w:t xml:space="preserve"> in the sense that it is not, as a body or in the precise configuration and assembly of its components, generally known among, or readily accessible to, persons within the circles that normally deal with the kind of information in question,</w:t>
      </w:r>
    </w:p>
    <w:p w:rsidR="001E1A94" w:rsidRPr="001E1A94" w:rsidRDefault="001E1A94" w:rsidP="0014571E">
      <w:pPr>
        <w:pStyle w:val="NormalWeb"/>
        <w:spacing w:line="480" w:lineRule="auto"/>
        <w:rPr>
          <w:rFonts w:cs="Times New Roman (Body CS)"/>
          <w:i/>
          <w:iCs/>
          <w:color w:val="000000" w:themeColor="text1"/>
        </w:rPr>
      </w:pPr>
      <w:r w:rsidRPr="001E1A94">
        <w:rPr>
          <w:rFonts w:cs="Times New Roman (Body CS)"/>
          <w:i/>
          <w:iCs/>
          <w:color w:val="000000" w:themeColor="text1"/>
        </w:rPr>
        <w:t>(b)</w:t>
      </w:r>
      <w:r w:rsidR="0005462D">
        <w:rPr>
          <w:rFonts w:cs="Times New Roman (Body CS)"/>
          <w:i/>
          <w:iCs/>
          <w:color w:val="000000" w:themeColor="text1"/>
        </w:rPr>
        <w:t xml:space="preserve"> </w:t>
      </w:r>
      <w:r w:rsidRPr="001E1A94">
        <w:rPr>
          <w:rFonts w:cs="Times New Roman (Body CS)"/>
          <w:i/>
          <w:iCs/>
          <w:color w:val="000000" w:themeColor="text1"/>
        </w:rPr>
        <w:t xml:space="preserve">has </w:t>
      </w:r>
      <w:r w:rsidRPr="00304BC5">
        <w:rPr>
          <w:rFonts w:cs="Times New Roman (Body CS)"/>
          <w:b/>
          <w:bCs/>
          <w:i/>
          <w:iCs/>
          <w:color w:val="000000" w:themeColor="text1"/>
        </w:rPr>
        <w:t>commercial value</w:t>
      </w:r>
      <w:r w:rsidRPr="001E1A94">
        <w:rPr>
          <w:rFonts w:cs="Times New Roman (Body CS)"/>
          <w:i/>
          <w:iCs/>
          <w:color w:val="000000" w:themeColor="text1"/>
        </w:rPr>
        <w:t xml:space="preserve"> because it is secret, and</w:t>
      </w:r>
    </w:p>
    <w:p w:rsidR="00155FE5" w:rsidRPr="0014571E" w:rsidRDefault="001E1A94" w:rsidP="0014571E">
      <w:pPr>
        <w:pStyle w:val="NormalWeb"/>
        <w:spacing w:line="480" w:lineRule="auto"/>
        <w:rPr>
          <w:rFonts w:cs="Times New Roman (Body CS)"/>
          <w:color w:val="000000" w:themeColor="text1"/>
        </w:rPr>
      </w:pPr>
      <w:r w:rsidRPr="001E1A94">
        <w:rPr>
          <w:rFonts w:cs="Times New Roman (Body CS)"/>
          <w:i/>
          <w:iCs/>
          <w:color w:val="000000" w:themeColor="text1"/>
        </w:rPr>
        <w:t>(c)</w:t>
      </w:r>
      <w:r w:rsidR="0005462D">
        <w:rPr>
          <w:rFonts w:cs="Times New Roman (Body CS)"/>
          <w:i/>
          <w:iCs/>
          <w:color w:val="000000" w:themeColor="text1"/>
        </w:rPr>
        <w:t xml:space="preserve"> </w:t>
      </w:r>
      <w:r w:rsidRPr="001E1A94">
        <w:rPr>
          <w:rFonts w:cs="Times New Roman (Body CS)"/>
          <w:i/>
          <w:iCs/>
          <w:color w:val="000000" w:themeColor="text1"/>
        </w:rPr>
        <w:t xml:space="preserve">has been subject to </w:t>
      </w:r>
      <w:r w:rsidRPr="001E1A94">
        <w:rPr>
          <w:rFonts w:cs="Times New Roman (Body CS)"/>
          <w:b/>
          <w:bCs/>
          <w:i/>
          <w:iCs/>
          <w:color w:val="000000" w:themeColor="text1"/>
        </w:rPr>
        <w:t>reasonable steps under the circumstances</w:t>
      </w:r>
      <w:r w:rsidRPr="001E1A94">
        <w:rPr>
          <w:rFonts w:cs="Times New Roman (Body CS)"/>
          <w:i/>
          <w:iCs/>
          <w:color w:val="000000" w:themeColor="text1"/>
        </w:rPr>
        <w:t>, by the person lawfully in control of the information, to keep it secret</w:t>
      </w:r>
      <w:r w:rsidR="008323A0">
        <w:rPr>
          <w:rFonts w:cs="Times New Roman (Body CS)"/>
          <w:i/>
          <w:iCs/>
          <w:color w:val="000000" w:themeColor="text1"/>
        </w:rPr>
        <w:t>…”</w:t>
      </w:r>
      <w:r>
        <w:rPr>
          <w:rStyle w:val="FootnoteReference"/>
          <w:rFonts w:cs="Times New Roman (Body CS)"/>
          <w:i/>
          <w:iCs/>
          <w:color w:val="000000" w:themeColor="text1"/>
        </w:rPr>
        <w:footnoteReference w:id="9"/>
      </w:r>
      <w:r w:rsidR="00151614">
        <w:rPr>
          <w:rFonts w:cs="Times New Roman (Body CS)"/>
          <w:i/>
          <w:iCs/>
          <w:color w:val="000000" w:themeColor="text1"/>
        </w:rPr>
        <w:t xml:space="preserve"> </w:t>
      </w:r>
    </w:p>
    <w:p w:rsidR="00304BC5" w:rsidRDefault="008323A0" w:rsidP="0005462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 number of these terms could do with elucidation.</w:t>
      </w:r>
    </w:p>
    <w:p w:rsidR="008323A0" w:rsidRPr="008323A0" w:rsidRDefault="008323A0" w:rsidP="0005462D">
      <w:pPr>
        <w:spacing w:line="480" w:lineRule="auto"/>
        <w:rPr>
          <w:rFonts w:ascii="Times New Roman" w:hAnsi="Times New Roman" w:cs="Times New Roman"/>
          <w:b/>
          <w:bCs/>
        </w:rPr>
      </w:pPr>
    </w:p>
    <w:p w:rsidR="00835F22" w:rsidRDefault="00672AB6" w:rsidP="00672AB6">
      <w:pPr>
        <w:spacing w:line="480" w:lineRule="auto"/>
        <w:rPr>
          <w:rFonts w:ascii="Times New Roman" w:hAnsi="Times New Roman" w:cs="Times New Roman (Body CS)"/>
          <w:b/>
          <w:bCs/>
        </w:rPr>
      </w:pPr>
      <w:r w:rsidRPr="00672AB6">
        <w:rPr>
          <w:rFonts w:ascii="Times New Roman" w:hAnsi="Times New Roman" w:cs="Times New Roman (Body CS)"/>
          <w:b/>
          <w:bCs/>
        </w:rPr>
        <w:t>“</w:t>
      </w:r>
      <w:r>
        <w:rPr>
          <w:rFonts w:ascii="Times New Roman" w:hAnsi="Times New Roman" w:cs="Times New Roman (Body CS)"/>
          <w:b/>
          <w:bCs/>
        </w:rPr>
        <w:t>Secret</w:t>
      </w:r>
      <w:r w:rsidRPr="00672AB6">
        <w:rPr>
          <w:rFonts w:ascii="Times New Roman" w:hAnsi="Times New Roman" w:cs="Times New Roman (Body CS)"/>
          <w:b/>
          <w:bCs/>
        </w:rPr>
        <w:t>”</w:t>
      </w:r>
    </w:p>
    <w:p w:rsidR="00672AB6" w:rsidRPr="00835F22" w:rsidRDefault="00672AB6" w:rsidP="00672AB6">
      <w:pPr>
        <w:spacing w:line="480" w:lineRule="auto"/>
        <w:rPr>
          <w:rFonts w:ascii="Times New Roman" w:hAnsi="Times New Roman" w:cs="Times New Roman (Body CS)"/>
          <w:b/>
          <w:bCs/>
        </w:rPr>
      </w:pPr>
      <w:r w:rsidRPr="00672AB6">
        <w:rPr>
          <w:rFonts w:ascii="Times New Roman" w:hAnsi="Times New Roman" w:cs="Times New Roman (Body CS)"/>
        </w:rPr>
        <w:t xml:space="preserve">The preamble to the </w:t>
      </w:r>
      <w:r>
        <w:rPr>
          <w:rFonts w:ascii="Times New Roman" w:hAnsi="Times New Roman" w:cs="Times New Roman (Body CS)"/>
        </w:rPr>
        <w:t xml:space="preserve">EU </w:t>
      </w:r>
      <w:r w:rsidRPr="00672AB6">
        <w:rPr>
          <w:rFonts w:ascii="Times New Roman" w:hAnsi="Times New Roman" w:cs="Times New Roman (Body CS)"/>
        </w:rPr>
        <w:t>Directive</w:t>
      </w:r>
      <w:r w:rsidR="00FB1292">
        <w:rPr>
          <w:rFonts w:ascii="Times New Roman" w:hAnsi="Times New Roman" w:cs="Times New Roman (Body CS)"/>
        </w:rPr>
        <w:t>,</w:t>
      </w:r>
      <w:r w:rsidRPr="00672AB6">
        <w:rPr>
          <w:rFonts w:ascii="Times New Roman" w:hAnsi="Times New Roman" w:cs="Times New Roman (Body CS)"/>
        </w:rPr>
        <w:t xml:space="preserve"> </w:t>
      </w:r>
      <w:r w:rsidR="008323A0">
        <w:rPr>
          <w:rFonts w:ascii="Times New Roman" w:hAnsi="Times New Roman" w:cs="Times New Roman (Body CS)"/>
        </w:rPr>
        <w:t>on which the new Regulations are based</w:t>
      </w:r>
      <w:r w:rsidR="00FB1292">
        <w:rPr>
          <w:rFonts w:ascii="Times New Roman" w:hAnsi="Times New Roman" w:cs="Times New Roman (Body CS)"/>
        </w:rPr>
        <w:t>,</w:t>
      </w:r>
      <w:r w:rsidR="008323A0">
        <w:rPr>
          <w:rFonts w:ascii="Times New Roman" w:hAnsi="Times New Roman" w:cs="Times New Roman (Body CS)"/>
        </w:rPr>
        <w:t xml:space="preserve"> </w:t>
      </w:r>
      <w:r>
        <w:rPr>
          <w:rFonts w:ascii="Times New Roman" w:hAnsi="Times New Roman" w:cs="Times New Roman (Body CS)"/>
        </w:rPr>
        <w:t xml:space="preserve">makes clear that </w:t>
      </w:r>
      <w:r w:rsidR="008323A0">
        <w:rPr>
          <w:rFonts w:ascii="Times New Roman" w:hAnsi="Times New Roman" w:cs="Times New Roman (Body CS)"/>
        </w:rPr>
        <w:t>its</w:t>
      </w:r>
      <w:r w:rsidR="00304BC5">
        <w:rPr>
          <w:rFonts w:ascii="Times New Roman" w:hAnsi="Times New Roman" w:cs="Times New Roman (Body CS)"/>
        </w:rPr>
        <w:t xml:space="preserve"> </w:t>
      </w:r>
      <w:r w:rsidRPr="00672AB6">
        <w:rPr>
          <w:rFonts w:ascii="Times New Roman" w:hAnsi="Times New Roman" w:cs="Times New Roman (Body CS)"/>
        </w:rPr>
        <w:t xml:space="preserve">definition </w:t>
      </w:r>
      <w:r w:rsidR="00304BC5">
        <w:rPr>
          <w:rFonts w:ascii="Times New Roman" w:hAnsi="Times New Roman" w:cs="Times New Roman (Body CS)"/>
        </w:rPr>
        <w:t>“</w:t>
      </w:r>
      <w:r w:rsidRPr="00672AB6">
        <w:rPr>
          <w:rFonts w:ascii="Times New Roman" w:hAnsi="Times New Roman" w:cs="Times New Roman (Body CS)"/>
        </w:rPr>
        <w:t xml:space="preserve">excludes trivial information and the experience and skills gained by employees in the normal course of their employment, and also excludes information which is generally known among, or is readily accessible to, persons within the circles that normally deal with </w:t>
      </w:r>
      <w:r w:rsidRPr="00672AB6">
        <w:rPr>
          <w:rFonts w:ascii="Times New Roman" w:hAnsi="Times New Roman" w:cs="Times New Roman (Body CS)"/>
        </w:rPr>
        <w:lastRenderedPageBreak/>
        <w:t>the kind of information in question.</w:t>
      </w:r>
      <w:r w:rsidR="00304BC5">
        <w:rPr>
          <w:rFonts w:ascii="Times New Roman" w:hAnsi="Times New Roman" w:cs="Times New Roman (Body CS)"/>
        </w:rPr>
        <w:t>”</w:t>
      </w:r>
      <w:r w:rsidR="00304BC5">
        <w:rPr>
          <w:rStyle w:val="FootnoteReference"/>
          <w:rFonts w:ascii="Times New Roman" w:hAnsi="Times New Roman" w:cs="Times New Roman (Body CS)"/>
        </w:rPr>
        <w:footnoteReference w:id="10"/>
      </w:r>
      <w:r w:rsidR="00571F57">
        <w:rPr>
          <w:rFonts w:ascii="Times New Roman" w:hAnsi="Times New Roman" w:cs="Times New Roman (Body CS)"/>
        </w:rPr>
        <w:t xml:space="preserve"> Such an interpretation does not</w:t>
      </w:r>
      <w:r w:rsidR="00835F22">
        <w:rPr>
          <w:rFonts w:ascii="Times New Roman" w:hAnsi="Times New Roman" w:cs="Times New Roman (Body CS)"/>
        </w:rPr>
        <w:t>, however,</w:t>
      </w:r>
      <w:r w:rsidR="00571F57">
        <w:rPr>
          <w:rFonts w:ascii="Times New Roman" w:hAnsi="Times New Roman" w:cs="Times New Roman (Body CS)"/>
        </w:rPr>
        <w:t xml:space="preserve"> </w:t>
      </w:r>
      <w:r w:rsidR="00C34EBC">
        <w:rPr>
          <w:rFonts w:ascii="Times New Roman" w:hAnsi="Times New Roman" w:cs="Times New Roman (Body CS)"/>
        </w:rPr>
        <w:t>restrict</w:t>
      </w:r>
      <w:r w:rsidR="00571F57">
        <w:rPr>
          <w:rFonts w:ascii="Times New Roman" w:hAnsi="Times New Roman" w:cs="Times New Roman (Body CS)"/>
        </w:rPr>
        <w:t xml:space="preserve"> the use of  “reverse engineering”</w:t>
      </w:r>
      <w:r w:rsidR="00571F57">
        <w:rPr>
          <w:rStyle w:val="FootnoteReference"/>
          <w:rFonts w:ascii="Times New Roman" w:hAnsi="Times New Roman" w:cs="Times New Roman (Body CS)"/>
        </w:rPr>
        <w:footnoteReference w:id="11"/>
      </w:r>
      <w:r w:rsidR="00571F57">
        <w:rPr>
          <w:rFonts w:ascii="Times New Roman" w:hAnsi="Times New Roman" w:cs="Times New Roman (Body CS)"/>
        </w:rPr>
        <w:t xml:space="preserve"> as a legitimate means to obtain access to </w:t>
      </w:r>
      <w:r w:rsidR="0056171D">
        <w:rPr>
          <w:rFonts w:ascii="Times New Roman" w:hAnsi="Times New Roman" w:cs="Times New Roman (Body CS)"/>
        </w:rPr>
        <w:t>t</w:t>
      </w:r>
      <w:r w:rsidR="00571F57">
        <w:rPr>
          <w:rFonts w:ascii="Times New Roman" w:hAnsi="Times New Roman" w:cs="Times New Roman (Body CS)"/>
        </w:rPr>
        <w:t xml:space="preserve">rade </w:t>
      </w:r>
      <w:r w:rsidR="0056171D">
        <w:rPr>
          <w:rFonts w:ascii="Times New Roman" w:hAnsi="Times New Roman" w:cs="Times New Roman (Body CS)"/>
        </w:rPr>
        <w:t>s</w:t>
      </w:r>
      <w:r w:rsidR="00571F57">
        <w:rPr>
          <w:rFonts w:ascii="Times New Roman" w:hAnsi="Times New Roman" w:cs="Times New Roman (Body CS)"/>
        </w:rPr>
        <w:t>ecret data.</w:t>
      </w:r>
      <w:r w:rsidR="005D5C29">
        <w:rPr>
          <w:rStyle w:val="FootnoteReference"/>
          <w:rFonts w:ascii="Times New Roman" w:hAnsi="Times New Roman" w:cs="Times New Roman (Body CS)"/>
        </w:rPr>
        <w:footnoteReference w:id="12"/>
      </w:r>
    </w:p>
    <w:p w:rsidR="00672AB6" w:rsidRDefault="00672AB6" w:rsidP="0005462D">
      <w:pPr>
        <w:spacing w:line="480" w:lineRule="auto"/>
        <w:rPr>
          <w:rFonts w:ascii="Times New Roman" w:hAnsi="Times New Roman" w:cs="Times New Roman (Body CS)"/>
          <w:b/>
          <w:bCs/>
        </w:rPr>
      </w:pPr>
    </w:p>
    <w:p w:rsidR="00672AB6" w:rsidRDefault="00151614" w:rsidP="0005462D">
      <w:pPr>
        <w:spacing w:line="480" w:lineRule="auto"/>
        <w:rPr>
          <w:rFonts w:ascii="Times New Roman" w:hAnsi="Times New Roman" w:cs="Times New Roman (Body CS)"/>
          <w:b/>
          <w:bCs/>
        </w:rPr>
      </w:pPr>
      <w:r>
        <w:rPr>
          <w:rFonts w:ascii="Times New Roman" w:hAnsi="Times New Roman" w:cs="Times New Roman (Body CS)"/>
          <w:b/>
          <w:bCs/>
        </w:rPr>
        <w:t>“</w:t>
      </w:r>
      <w:r w:rsidR="00C37654">
        <w:rPr>
          <w:rFonts w:ascii="Times New Roman" w:hAnsi="Times New Roman" w:cs="Times New Roman (Body CS)"/>
          <w:b/>
          <w:bCs/>
        </w:rPr>
        <w:t xml:space="preserve">Commercial </w:t>
      </w:r>
      <w:r w:rsidR="00672AB6">
        <w:rPr>
          <w:rFonts w:ascii="Times New Roman" w:hAnsi="Times New Roman" w:cs="Times New Roman (Body CS)"/>
          <w:b/>
          <w:bCs/>
        </w:rPr>
        <w:t>value</w:t>
      </w:r>
      <w:r>
        <w:rPr>
          <w:rFonts w:ascii="Times New Roman" w:hAnsi="Times New Roman" w:cs="Times New Roman (Body CS)"/>
          <w:b/>
          <w:bCs/>
        </w:rPr>
        <w:t xml:space="preserve">” </w:t>
      </w:r>
    </w:p>
    <w:p w:rsidR="00672AB6" w:rsidRDefault="00672AB6" w:rsidP="0005462D">
      <w:pPr>
        <w:spacing w:line="480" w:lineRule="auto"/>
        <w:rPr>
          <w:rFonts w:ascii="Times New Roman" w:hAnsi="Times New Roman" w:cs="Times New Roman (Body CS)"/>
        </w:rPr>
      </w:pPr>
      <w:r w:rsidRPr="00672AB6">
        <w:rPr>
          <w:rFonts w:ascii="Times New Roman" w:hAnsi="Times New Roman" w:cs="Times New Roman (Body CS)"/>
        </w:rPr>
        <w:t xml:space="preserve">The preamble to the </w:t>
      </w:r>
      <w:r>
        <w:rPr>
          <w:rFonts w:ascii="Times New Roman" w:hAnsi="Times New Roman" w:cs="Times New Roman (Body CS)"/>
        </w:rPr>
        <w:t xml:space="preserve">EU </w:t>
      </w:r>
      <w:r w:rsidRPr="00672AB6">
        <w:rPr>
          <w:rFonts w:ascii="Times New Roman" w:hAnsi="Times New Roman" w:cs="Times New Roman (Body CS)"/>
        </w:rPr>
        <w:t xml:space="preserve">Directive </w:t>
      </w:r>
      <w:r w:rsidR="00304BC5">
        <w:rPr>
          <w:rFonts w:ascii="Times New Roman" w:hAnsi="Times New Roman" w:cs="Times New Roman (Body CS)"/>
        </w:rPr>
        <w:t xml:space="preserve">additionally </w:t>
      </w:r>
      <w:r w:rsidRPr="00672AB6">
        <w:rPr>
          <w:rFonts w:ascii="Times New Roman" w:hAnsi="Times New Roman" w:cs="Times New Roman (Body CS)"/>
        </w:rPr>
        <w:t xml:space="preserve">states that </w:t>
      </w:r>
      <w:r>
        <w:rPr>
          <w:rFonts w:ascii="Times New Roman" w:hAnsi="Times New Roman" w:cs="Times New Roman (Body CS)"/>
        </w:rPr>
        <w:t>data</w:t>
      </w:r>
      <w:r w:rsidRPr="00672AB6">
        <w:rPr>
          <w:rFonts w:ascii="Times New Roman" w:hAnsi="Times New Roman" w:cs="Times New Roman (Body CS)"/>
        </w:rPr>
        <w:t xml:space="preserve"> has </w:t>
      </w:r>
      <w:r>
        <w:rPr>
          <w:rFonts w:ascii="Times New Roman" w:hAnsi="Times New Roman" w:cs="Times New Roman (Body CS)"/>
        </w:rPr>
        <w:t xml:space="preserve">a </w:t>
      </w:r>
      <w:r w:rsidRPr="00672AB6">
        <w:rPr>
          <w:rFonts w:ascii="Times New Roman" w:hAnsi="Times New Roman" w:cs="Times New Roman (Body CS)"/>
        </w:rPr>
        <w:t xml:space="preserve">commercial value </w:t>
      </w:r>
      <w:r>
        <w:rPr>
          <w:rFonts w:ascii="Times New Roman" w:hAnsi="Times New Roman" w:cs="Times New Roman (Body CS)"/>
        </w:rPr>
        <w:t>“</w:t>
      </w:r>
      <w:r w:rsidRPr="00672AB6">
        <w:rPr>
          <w:rFonts w:ascii="Times New Roman" w:hAnsi="Times New Roman" w:cs="Times New Roman (Body CS)"/>
        </w:rPr>
        <w:t>where its unlawful acquisition, use or disclosure is likely to harm the interests of the person lawfully controlling it, in that it undermines that person's scientific and technical potential, business or financial interests, strategic positions or ability to compete.</w:t>
      </w:r>
      <w:r w:rsidR="00304BC5">
        <w:rPr>
          <w:rFonts w:ascii="Times New Roman" w:hAnsi="Times New Roman" w:cs="Times New Roman (Body CS)"/>
        </w:rPr>
        <w:t>”</w:t>
      </w:r>
      <w:r w:rsidR="00304BC5">
        <w:rPr>
          <w:rStyle w:val="FootnoteReference"/>
          <w:rFonts w:ascii="Times New Roman" w:hAnsi="Times New Roman" w:cs="Times New Roman (Body CS)"/>
        </w:rPr>
        <w:footnoteReference w:id="13"/>
      </w:r>
      <w:r w:rsidR="00C34EBC">
        <w:rPr>
          <w:rFonts w:ascii="Times New Roman" w:hAnsi="Times New Roman" w:cs="Times New Roman (Body CS)"/>
        </w:rPr>
        <w:t xml:space="preserve"> The minimum threshold </w:t>
      </w:r>
      <w:r w:rsidR="00835F22">
        <w:rPr>
          <w:rFonts w:ascii="Times New Roman" w:hAnsi="Times New Roman" w:cs="Times New Roman (Body CS)"/>
        </w:rPr>
        <w:t xml:space="preserve">for recognition </w:t>
      </w:r>
      <w:r w:rsidR="005D5C29">
        <w:rPr>
          <w:rFonts w:ascii="Times New Roman" w:hAnsi="Times New Roman" w:cs="Times New Roman (Body CS)"/>
        </w:rPr>
        <w:t xml:space="preserve">will </w:t>
      </w:r>
      <w:r w:rsidR="00835F22">
        <w:rPr>
          <w:rFonts w:ascii="Times New Roman" w:hAnsi="Times New Roman" w:cs="Times New Roman (Body CS)"/>
        </w:rPr>
        <w:t xml:space="preserve">thus </w:t>
      </w:r>
      <w:r w:rsidR="005D5C29">
        <w:rPr>
          <w:rFonts w:ascii="Times New Roman" w:hAnsi="Times New Roman" w:cs="Times New Roman (Body CS)"/>
        </w:rPr>
        <w:t>be</w:t>
      </w:r>
      <w:r w:rsidR="00C34EBC">
        <w:rPr>
          <w:rFonts w:ascii="Times New Roman" w:hAnsi="Times New Roman" w:cs="Times New Roman (Body CS)"/>
        </w:rPr>
        <w:t xml:space="preserve">, </w:t>
      </w:r>
      <w:r w:rsidR="00835F22">
        <w:rPr>
          <w:rFonts w:ascii="Times New Roman" w:hAnsi="Times New Roman" w:cs="Times New Roman (Body CS)"/>
        </w:rPr>
        <w:t>in essence,</w:t>
      </w:r>
      <w:r w:rsidR="00235900">
        <w:rPr>
          <w:rFonts w:ascii="Times New Roman" w:hAnsi="Times New Roman" w:cs="Times New Roman (Body CS)"/>
        </w:rPr>
        <w:t xml:space="preserve"> </w:t>
      </w:r>
      <w:r w:rsidR="00C34EBC">
        <w:rPr>
          <w:rFonts w:ascii="Times New Roman" w:hAnsi="Times New Roman" w:cs="Times New Roman (Body CS)"/>
        </w:rPr>
        <w:t>“the extent to which the information provides an opportunity to obtain an advantage over competitors who do not know or use it</w:t>
      </w:r>
      <w:r w:rsidR="00A145DA">
        <w:rPr>
          <w:rFonts w:ascii="Times New Roman" w:hAnsi="Times New Roman" w:cs="Times New Roman (Body CS)"/>
        </w:rPr>
        <w:t>.</w:t>
      </w:r>
      <w:r w:rsidR="00C34EBC">
        <w:rPr>
          <w:rFonts w:ascii="Times New Roman" w:hAnsi="Times New Roman" w:cs="Times New Roman (Body CS)"/>
        </w:rPr>
        <w:t>”</w:t>
      </w:r>
      <w:r w:rsidR="00C34EBC">
        <w:rPr>
          <w:rStyle w:val="FootnoteReference"/>
          <w:rFonts w:ascii="Times New Roman" w:hAnsi="Times New Roman" w:cs="Times New Roman (Body CS)"/>
        </w:rPr>
        <w:footnoteReference w:id="14"/>
      </w:r>
    </w:p>
    <w:p w:rsidR="00304BC5" w:rsidRPr="00672AB6" w:rsidRDefault="00304BC5" w:rsidP="0005462D">
      <w:pPr>
        <w:spacing w:line="480" w:lineRule="auto"/>
        <w:rPr>
          <w:rFonts w:ascii="Times New Roman" w:hAnsi="Times New Roman" w:cs="Times New Roman (Body CS)"/>
        </w:rPr>
      </w:pPr>
    </w:p>
    <w:p w:rsidR="003D5BF2" w:rsidRDefault="00C37654" w:rsidP="0005462D">
      <w:pPr>
        <w:spacing w:line="480" w:lineRule="auto"/>
        <w:rPr>
          <w:rFonts w:ascii="Times New Roman" w:hAnsi="Times New Roman" w:cs="Times New Roman (Body CS)"/>
          <w:b/>
          <w:bCs/>
        </w:rPr>
      </w:pPr>
      <w:r>
        <w:rPr>
          <w:rFonts w:ascii="Times New Roman" w:hAnsi="Times New Roman" w:cs="Times New Roman (Body CS)"/>
          <w:b/>
          <w:bCs/>
        </w:rPr>
        <w:t>“Reasonable steps</w:t>
      </w:r>
      <w:r w:rsidR="00C53BD5">
        <w:rPr>
          <w:rFonts w:ascii="Times New Roman" w:hAnsi="Times New Roman" w:cs="Times New Roman (Body CS)"/>
          <w:b/>
          <w:bCs/>
        </w:rPr>
        <w:t xml:space="preserve"> under the circumstances”</w:t>
      </w:r>
      <w:r>
        <w:rPr>
          <w:rFonts w:ascii="Times New Roman" w:hAnsi="Times New Roman" w:cs="Times New Roman (Body CS)"/>
          <w:b/>
          <w:bCs/>
        </w:rPr>
        <w:t xml:space="preserve"> </w:t>
      </w:r>
    </w:p>
    <w:p w:rsidR="00075834" w:rsidRPr="007C02D3" w:rsidRDefault="00674F00" w:rsidP="001E0984">
      <w:pPr>
        <w:spacing w:line="480" w:lineRule="auto"/>
        <w:rPr>
          <w:rFonts w:ascii="Times New Roman" w:hAnsi="Times New Roman" w:cs="Times New Roman (Body CS)"/>
        </w:rPr>
      </w:pPr>
      <w:r w:rsidRPr="00674F00">
        <w:rPr>
          <w:rFonts w:ascii="Times New Roman" w:hAnsi="Times New Roman" w:cs="Times New Roman"/>
          <w:color w:val="000000" w:themeColor="text1"/>
        </w:rPr>
        <w:t xml:space="preserve">There is no definitive guidance </w:t>
      </w:r>
      <w:r w:rsidR="00835F22">
        <w:rPr>
          <w:rFonts w:ascii="Times New Roman" w:hAnsi="Times New Roman" w:cs="Times New Roman"/>
          <w:color w:val="000000" w:themeColor="text1"/>
        </w:rPr>
        <w:t xml:space="preserve">yet </w:t>
      </w:r>
      <w:r w:rsidRPr="00674F00">
        <w:rPr>
          <w:rFonts w:ascii="Times New Roman" w:hAnsi="Times New Roman" w:cs="Times New Roman"/>
          <w:color w:val="000000" w:themeColor="text1"/>
        </w:rPr>
        <w:t xml:space="preserve">under UK law as to </w:t>
      </w:r>
      <w:r w:rsidR="00835F22">
        <w:rPr>
          <w:rFonts w:ascii="Times New Roman" w:hAnsi="Times New Roman" w:cs="Times New Roman"/>
          <w:color w:val="000000" w:themeColor="text1"/>
        </w:rPr>
        <w:t xml:space="preserve">what might be </w:t>
      </w:r>
      <w:r w:rsidRPr="00674F00">
        <w:rPr>
          <w:rFonts w:ascii="Times New Roman" w:hAnsi="Times New Roman" w:cs="Times New Roman"/>
          <w:color w:val="000000" w:themeColor="text1"/>
        </w:rPr>
        <w:t xml:space="preserve">the interpretation of </w:t>
      </w:r>
      <w:r w:rsidR="008C655F">
        <w:rPr>
          <w:rFonts w:ascii="Times New Roman" w:hAnsi="Times New Roman" w:cs="Times New Roman"/>
          <w:color w:val="000000" w:themeColor="text1"/>
        </w:rPr>
        <w:t>“</w:t>
      </w:r>
      <w:r w:rsidRPr="00674F00">
        <w:rPr>
          <w:rFonts w:ascii="Times New Roman" w:hAnsi="Times New Roman" w:cs="Times New Roman"/>
          <w:color w:val="000000" w:themeColor="text1"/>
        </w:rPr>
        <w:t>reasonable steps</w:t>
      </w:r>
      <w:r w:rsidR="008C655F">
        <w:rPr>
          <w:rFonts w:ascii="Times New Roman" w:hAnsi="Times New Roman" w:cs="Times New Roman"/>
          <w:color w:val="000000" w:themeColor="text1"/>
        </w:rPr>
        <w:t>”</w:t>
      </w:r>
      <w:r w:rsidRPr="00674F00">
        <w:rPr>
          <w:rFonts w:ascii="Times New Roman" w:hAnsi="Times New Roman" w:cs="Times New Roman"/>
          <w:color w:val="000000" w:themeColor="text1"/>
        </w:rPr>
        <w:t xml:space="preserve">, or </w:t>
      </w:r>
      <w:r w:rsidR="00151614">
        <w:rPr>
          <w:rFonts w:ascii="Times New Roman" w:hAnsi="Times New Roman" w:cs="Times New Roman"/>
          <w:color w:val="000000" w:themeColor="text1"/>
        </w:rPr>
        <w:t xml:space="preserve">for that matter </w:t>
      </w:r>
      <w:r w:rsidR="008C655F">
        <w:rPr>
          <w:rFonts w:ascii="Times New Roman" w:hAnsi="Times New Roman" w:cs="Times New Roman"/>
          <w:color w:val="000000" w:themeColor="text1"/>
        </w:rPr>
        <w:t>“</w:t>
      </w:r>
      <w:r w:rsidRPr="00674F00">
        <w:rPr>
          <w:rFonts w:ascii="Times New Roman" w:hAnsi="Times New Roman" w:cs="Times New Roman"/>
          <w:color w:val="000000" w:themeColor="text1"/>
        </w:rPr>
        <w:t>under the circumstances</w:t>
      </w:r>
      <w:r w:rsidR="008C655F">
        <w:rPr>
          <w:rFonts w:ascii="Times New Roman" w:hAnsi="Times New Roman" w:cs="Times New Roman"/>
          <w:color w:val="000000" w:themeColor="text1"/>
        </w:rPr>
        <w:t>”</w:t>
      </w:r>
      <w:r w:rsidRPr="00674F00">
        <w:rPr>
          <w:rFonts w:ascii="Times New Roman" w:hAnsi="Times New Roman" w:cs="Times New Roman"/>
          <w:color w:val="000000" w:themeColor="text1"/>
        </w:rPr>
        <w:t xml:space="preserve">. </w:t>
      </w:r>
      <w:r w:rsidR="00835F22">
        <w:rPr>
          <w:rFonts w:ascii="Times New Roman" w:hAnsi="Times New Roman" w:cs="Times New Roman"/>
          <w:color w:val="000000" w:themeColor="text1"/>
        </w:rPr>
        <w:t xml:space="preserve">On the other hand, there may well be indications elsewhere. </w:t>
      </w:r>
      <w:r w:rsidR="00BA6B46">
        <w:rPr>
          <w:rFonts w:ascii="Times New Roman" w:hAnsi="Times New Roman" w:cs="Times New Roman"/>
          <w:color w:val="000000" w:themeColor="text1"/>
        </w:rPr>
        <w:t>O</w:t>
      </w:r>
      <w:r w:rsidR="00835F22">
        <w:rPr>
          <w:rFonts w:ascii="Times New Roman" w:hAnsi="Times New Roman" w:cs="Times New Roman"/>
          <w:color w:val="000000" w:themeColor="text1"/>
        </w:rPr>
        <w:t xml:space="preserve">ur courts may </w:t>
      </w:r>
      <w:r w:rsidR="00BA6B46">
        <w:rPr>
          <w:rFonts w:ascii="Times New Roman" w:hAnsi="Times New Roman" w:cs="Times New Roman"/>
          <w:color w:val="000000" w:themeColor="text1"/>
        </w:rPr>
        <w:t xml:space="preserve">be </w:t>
      </w:r>
      <w:r w:rsidR="00835F22">
        <w:rPr>
          <w:rFonts w:ascii="Times New Roman" w:hAnsi="Times New Roman" w:cs="Times New Roman"/>
          <w:color w:val="000000" w:themeColor="text1"/>
        </w:rPr>
        <w:t xml:space="preserve">well advised to </w:t>
      </w:r>
      <w:r w:rsidR="004C41D2">
        <w:rPr>
          <w:rFonts w:ascii="Times New Roman" w:hAnsi="Times New Roman" w:cs="Times New Roman"/>
          <w:color w:val="000000" w:themeColor="text1"/>
        </w:rPr>
        <w:t xml:space="preserve">turn to </w:t>
      </w:r>
      <w:r w:rsidRPr="00674F00">
        <w:rPr>
          <w:rFonts w:ascii="Times New Roman" w:hAnsi="Times New Roman" w:cs="Times New Roman"/>
          <w:color w:val="000000" w:themeColor="text1"/>
        </w:rPr>
        <w:t xml:space="preserve">jurisprudence </w:t>
      </w:r>
      <w:r w:rsidR="004C41D2">
        <w:rPr>
          <w:rFonts w:ascii="Times New Roman" w:hAnsi="Times New Roman" w:cs="Times New Roman"/>
          <w:color w:val="000000" w:themeColor="text1"/>
        </w:rPr>
        <w:t>from the USA</w:t>
      </w:r>
      <w:r w:rsidR="00CE3646">
        <w:rPr>
          <w:rFonts w:ascii="Times New Roman" w:hAnsi="Times New Roman" w:cs="Times New Roman"/>
          <w:color w:val="000000" w:themeColor="text1"/>
        </w:rPr>
        <w:t xml:space="preserve">, given the EU Directive mirrors Article 39.2 </w:t>
      </w:r>
      <w:r w:rsidR="00F717AE">
        <w:rPr>
          <w:rFonts w:ascii="Times New Roman" w:hAnsi="Times New Roman" w:cs="Times New Roman"/>
          <w:color w:val="000000" w:themeColor="text1"/>
        </w:rPr>
        <w:t xml:space="preserve">of the </w:t>
      </w:r>
      <w:r w:rsidR="00CE3646" w:rsidRPr="004124EB">
        <w:rPr>
          <w:rFonts w:ascii="Times New Roman" w:hAnsi="Times New Roman" w:cs="Times New Roman (Body CS)"/>
        </w:rPr>
        <w:t>Agreement on Trade-Related Aspects of Intellectual Property Rights</w:t>
      </w:r>
      <w:r w:rsidR="00CE3646">
        <w:rPr>
          <w:rFonts w:ascii="Times New Roman" w:hAnsi="Times New Roman" w:cs="Times New Roman (Body CS)"/>
        </w:rPr>
        <w:t xml:space="preserve"> </w:t>
      </w:r>
      <w:r w:rsidR="005224F1">
        <w:rPr>
          <w:rFonts w:ascii="Times New Roman" w:hAnsi="Times New Roman" w:cs="Times New Roman (Body CS)"/>
        </w:rPr>
        <w:t>(TRIPs)</w:t>
      </w:r>
      <w:r w:rsidR="0005462D">
        <w:rPr>
          <w:rFonts w:ascii="Times New Roman" w:hAnsi="Times New Roman" w:cs="Times New Roman (Body CS)"/>
        </w:rPr>
        <w:t>,</w:t>
      </w:r>
      <w:r w:rsidR="005224F1">
        <w:rPr>
          <w:rFonts w:ascii="Times New Roman" w:hAnsi="Times New Roman" w:cs="Times New Roman (Body CS)"/>
        </w:rPr>
        <w:t xml:space="preserve"> </w:t>
      </w:r>
      <w:r w:rsidR="007F4AFD">
        <w:rPr>
          <w:rFonts w:ascii="Times New Roman" w:hAnsi="Times New Roman" w:cs="Times New Roman (Body CS)"/>
        </w:rPr>
        <w:t xml:space="preserve">which </w:t>
      </w:r>
      <w:r w:rsidR="00CF02C6">
        <w:rPr>
          <w:rFonts w:ascii="Times New Roman" w:hAnsi="Times New Roman" w:cs="Times New Roman (Body CS)"/>
        </w:rPr>
        <w:t>of</w:t>
      </w:r>
      <w:r w:rsidR="00151614">
        <w:rPr>
          <w:rFonts w:ascii="Times New Roman" w:hAnsi="Times New Roman" w:cs="Times New Roman (Body CS)"/>
        </w:rPr>
        <w:t xml:space="preserve"> itself </w:t>
      </w:r>
      <w:r w:rsidR="007F4AFD">
        <w:rPr>
          <w:rFonts w:ascii="Times New Roman" w:hAnsi="Times New Roman" w:cs="Times New Roman (Body CS)"/>
        </w:rPr>
        <w:t xml:space="preserve">took inspiration from the </w:t>
      </w:r>
      <w:r w:rsidR="00835F22">
        <w:rPr>
          <w:rFonts w:ascii="Times New Roman" w:hAnsi="Times New Roman" w:cs="Times New Roman (Body CS)"/>
        </w:rPr>
        <w:t xml:space="preserve">American </w:t>
      </w:r>
      <w:r w:rsidR="007F4AFD">
        <w:rPr>
          <w:rFonts w:ascii="Times New Roman" w:hAnsi="Times New Roman" w:cs="Times New Roman (Body CS)"/>
        </w:rPr>
        <w:t>Uniform Trade Secrets Act</w:t>
      </w:r>
      <w:r w:rsidR="0005462D">
        <w:rPr>
          <w:rFonts w:ascii="Times New Roman" w:hAnsi="Times New Roman" w:cs="Times New Roman (Body CS)"/>
        </w:rPr>
        <w:t xml:space="preserve">, </w:t>
      </w:r>
      <w:r w:rsidR="00835F22">
        <w:rPr>
          <w:rFonts w:ascii="Times New Roman" w:hAnsi="Times New Roman" w:cs="Times New Roman (Body CS)"/>
        </w:rPr>
        <w:t>as</w:t>
      </w:r>
      <w:r w:rsidR="0056171D">
        <w:rPr>
          <w:rFonts w:ascii="Times New Roman" w:hAnsi="Times New Roman" w:cs="Times New Roman (Body CS)"/>
        </w:rPr>
        <w:t xml:space="preserve"> </w:t>
      </w:r>
      <w:r w:rsidR="007F4AFD">
        <w:rPr>
          <w:rFonts w:ascii="Times New Roman" w:hAnsi="Times New Roman" w:cs="Times New Roman (Body CS)"/>
        </w:rPr>
        <w:t xml:space="preserve">widely adopted </w:t>
      </w:r>
      <w:r w:rsidR="0056171D">
        <w:rPr>
          <w:rFonts w:ascii="Times New Roman" w:hAnsi="Times New Roman" w:cs="Times New Roman (Body CS)"/>
        </w:rPr>
        <w:t xml:space="preserve">by individual states </w:t>
      </w:r>
      <w:r w:rsidR="00277447">
        <w:rPr>
          <w:rFonts w:ascii="Times New Roman" w:hAnsi="Times New Roman" w:cs="Times New Roman (Body CS)"/>
        </w:rPr>
        <w:t>across</w:t>
      </w:r>
      <w:r w:rsidR="007F4AFD">
        <w:rPr>
          <w:rFonts w:ascii="Times New Roman" w:hAnsi="Times New Roman" w:cs="Times New Roman (Body CS)"/>
        </w:rPr>
        <w:t xml:space="preserve"> the USA.</w:t>
      </w:r>
      <w:r w:rsidR="00CF02C6">
        <w:rPr>
          <w:rStyle w:val="FootnoteReference"/>
          <w:rFonts w:ascii="Times New Roman" w:hAnsi="Times New Roman" w:cs="Times New Roman (Body CS)"/>
        </w:rPr>
        <w:footnoteReference w:id="15"/>
      </w:r>
      <w:r w:rsidR="00C53BD5">
        <w:rPr>
          <w:rFonts w:ascii="Times New Roman" w:hAnsi="Times New Roman" w:cs="Times New Roman (Body CS)"/>
        </w:rPr>
        <w:t xml:space="preserve"> So what lessons might the UK Company Lawyer glean from U.S. case</w:t>
      </w:r>
      <w:r w:rsidR="004170C8">
        <w:rPr>
          <w:rFonts w:ascii="Times New Roman" w:hAnsi="Times New Roman" w:cs="Times New Roman (Body CS)"/>
        </w:rPr>
        <w:t xml:space="preserve"> law</w:t>
      </w:r>
      <w:r w:rsidR="00C53BD5">
        <w:rPr>
          <w:rFonts w:ascii="Times New Roman" w:hAnsi="Times New Roman" w:cs="Times New Roman (Body CS)"/>
        </w:rPr>
        <w:t xml:space="preserve"> on the </w:t>
      </w:r>
      <w:r w:rsidR="00C53BD5">
        <w:rPr>
          <w:rFonts w:ascii="Times New Roman" w:hAnsi="Times New Roman" w:cs="Times New Roman (Body CS)"/>
        </w:rPr>
        <w:lastRenderedPageBreak/>
        <w:t>likely interpretation of “reasonable steps under the circumstances” under these new Regulations?</w:t>
      </w:r>
    </w:p>
    <w:p w:rsidR="00B27FBB" w:rsidRDefault="00441237" w:rsidP="00441237">
      <w:pPr>
        <w:pStyle w:val="ListParagraph"/>
        <w:numPr>
          <w:ilvl w:val="0"/>
          <w:numId w:val="19"/>
        </w:numPr>
        <w:spacing w:line="480" w:lineRule="auto"/>
        <w:rPr>
          <w:rFonts w:ascii="Times New Roman" w:hAnsi="Times New Roman" w:cs="Times New Roman (Body CS)"/>
          <w:b/>
          <w:bCs/>
          <w:i/>
          <w:iCs/>
        </w:rPr>
      </w:pPr>
      <w:r>
        <w:rPr>
          <w:rFonts w:ascii="Times New Roman" w:hAnsi="Times New Roman" w:cs="Times New Roman (Body CS)"/>
          <w:b/>
          <w:bCs/>
          <w:i/>
          <w:iCs/>
        </w:rPr>
        <w:t>Review your company’s data estate</w:t>
      </w:r>
    </w:p>
    <w:p w:rsidR="00441237" w:rsidRPr="007C02D3" w:rsidRDefault="000D5272" w:rsidP="007C02D3">
      <w:pPr>
        <w:spacing w:line="480" w:lineRule="auto"/>
        <w:rPr>
          <w:rFonts w:ascii="Times New Roman" w:hAnsi="Times New Roman" w:cs="Times New Roman"/>
          <w:color w:val="000000" w:themeColor="text1"/>
        </w:rPr>
      </w:pPr>
      <w:r w:rsidRPr="000D5272">
        <w:rPr>
          <w:rFonts w:ascii="Times New Roman" w:hAnsi="Times New Roman" w:cs="Times New Roman"/>
          <w:color w:val="000000" w:themeColor="text1"/>
        </w:rPr>
        <w:t xml:space="preserve">U.S. courts have </w:t>
      </w:r>
      <w:r w:rsidR="0046113D">
        <w:rPr>
          <w:rFonts w:ascii="Times New Roman" w:hAnsi="Times New Roman" w:cs="Times New Roman"/>
          <w:color w:val="000000" w:themeColor="text1"/>
        </w:rPr>
        <w:t xml:space="preserve">found it problematic if the claimant has </w:t>
      </w:r>
      <w:r w:rsidRPr="000D5272">
        <w:rPr>
          <w:rFonts w:ascii="Times New Roman" w:hAnsi="Times New Roman" w:cs="Times New Roman"/>
          <w:color w:val="000000" w:themeColor="text1"/>
        </w:rPr>
        <w:t>done “nothing to differentiate its protective measures for the alleged proprietary trade secrets from those imposed on any other corporate information.”</w:t>
      </w:r>
      <w:r>
        <w:rPr>
          <w:rStyle w:val="FootnoteReference"/>
          <w:rFonts w:ascii="Times New Roman" w:hAnsi="Times New Roman" w:cs="Times New Roman"/>
          <w:color w:val="000000" w:themeColor="text1"/>
        </w:rPr>
        <w:footnoteReference w:id="16"/>
      </w:r>
      <w:r w:rsidRPr="000D5272">
        <w:rPr>
          <w:rFonts w:ascii="Times New Roman" w:hAnsi="Times New Roman" w:cs="Times New Roman"/>
          <w:color w:val="000000" w:themeColor="text1"/>
        </w:rPr>
        <w:t xml:space="preserve"> The court found it problematic that there was no allegation that the plaintiff treated the alleged trade secret as “any more confidential than all of the plaintiff’s internal information.”</w:t>
      </w:r>
      <w:r>
        <w:rPr>
          <w:rStyle w:val="FootnoteReference"/>
          <w:rFonts w:ascii="Times New Roman" w:hAnsi="Times New Roman" w:cs="Times New Roman"/>
          <w:color w:val="000000" w:themeColor="text1"/>
        </w:rPr>
        <w:footnoteReference w:id="17"/>
      </w:r>
    </w:p>
    <w:p w:rsidR="00441237" w:rsidRDefault="00441237" w:rsidP="00441237">
      <w:pPr>
        <w:pStyle w:val="ListParagraph"/>
        <w:numPr>
          <w:ilvl w:val="0"/>
          <w:numId w:val="19"/>
        </w:numPr>
        <w:spacing w:line="480" w:lineRule="auto"/>
        <w:rPr>
          <w:rFonts w:ascii="Times New Roman" w:hAnsi="Times New Roman" w:cs="Times New Roman (Body CS)"/>
          <w:b/>
          <w:bCs/>
          <w:i/>
          <w:iCs/>
        </w:rPr>
      </w:pPr>
      <w:r>
        <w:rPr>
          <w:rFonts w:ascii="Times New Roman" w:hAnsi="Times New Roman" w:cs="Times New Roman (Body CS)"/>
          <w:b/>
          <w:bCs/>
          <w:i/>
          <w:iCs/>
        </w:rPr>
        <w:t>Your company’s trade secrets should be identified as such</w:t>
      </w:r>
    </w:p>
    <w:p w:rsidR="00441237" w:rsidRDefault="00797515" w:rsidP="0046113D">
      <w:pPr>
        <w:spacing w:line="480" w:lineRule="auto"/>
        <w:rPr>
          <w:rFonts w:ascii="Times New Roman" w:hAnsi="Times New Roman" w:cs="Times New Roman"/>
          <w:color w:val="000000" w:themeColor="text1"/>
        </w:rPr>
      </w:pPr>
      <w:r w:rsidRPr="00797515">
        <w:rPr>
          <w:rFonts w:ascii="Times New Roman" w:hAnsi="Times New Roman" w:cs="Times New Roman"/>
          <w:color w:val="000000" w:themeColor="text1"/>
        </w:rPr>
        <w:t>U.S. courts have considered the labelling of information as “Confidential”, or “Trade Secrets” as a factor in the determination of whether that status was deserved</w:t>
      </w:r>
      <w:r w:rsidRPr="00797515">
        <w:rPr>
          <w:rFonts w:ascii="Times New Roman" w:hAnsi="Times New Roman" w:cs="Times New Roman"/>
          <w:i/>
          <w:iCs/>
          <w:color w:val="000000" w:themeColor="text1"/>
        </w:rPr>
        <w:t>.</w:t>
      </w:r>
      <w:r>
        <w:rPr>
          <w:rStyle w:val="FootnoteReference"/>
          <w:rFonts w:ascii="Times New Roman" w:hAnsi="Times New Roman" w:cs="Times New Roman"/>
          <w:color w:val="000000" w:themeColor="text1"/>
        </w:rPr>
        <w:footnoteReference w:id="18"/>
      </w:r>
      <w:r w:rsidRPr="00797515">
        <w:rPr>
          <w:rFonts w:ascii="Times New Roman" w:hAnsi="Times New Roman" w:cs="Times New Roman"/>
          <w:color w:val="000000" w:themeColor="text1"/>
        </w:rPr>
        <w:t xml:space="preserve"> An interesting situation can be seen in </w:t>
      </w:r>
      <w:r w:rsidRPr="00797515">
        <w:rPr>
          <w:rFonts w:ascii="Times New Roman" w:hAnsi="Times New Roman" w:cs="Times New Roman"/>
          <w:i/>
          <w:iCs/>
          <w:color w:val="000000" w:themeColor="text1"/>
        </w:rPr>
        <w:t xml:space="preserve">Call One Inc v </w:t>
      </w:r>
      <w:proofErr w:type="spellStart"/>
      <w:r w:rsidRPr="00797515">
        <w:rPr>
          <w:rFonts w:ascii="Times New Roman" w:hAnsi="Times New Roman" w:cs="Times New Roman"/>
          <w:i/>
          <w:iCs/>
          <w:color w:val="000000" w:themeColor="text1"/>
        </w:rPr>
        <w:t>Anzine</w:t>
      </w:r>
      <w:proofErr w:type="spellEnd"/>
      <w:r w:rsidRPr="00797515">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9"/>
      </w:r>
      <w:r w:rsidRPr="00797515">
        <w:rPr>
          <w:rFonts w:ascii="Times New Roman" w:hAnsi="Times New Roman" w:cs="Times New Roman"/>
          <w:color w:val="000000" w:themeColor="text1"/>
        </w:rPr>
        <w:t xml:space="preserve"> a Federal claim, which was summarily dismissed </w:t>
      </w:r>
      <w:r w:rsidR="0046113D">
        <w:rPr>
          <w:rFonts w:ascii="Times New Roman" w:hAnsi="Times New Roman" w:cs="Times New Roman"/>
          <w:color w:val="000000" w:themeColor="text1"/>
        </w:rPr>
        <w:t>on the basis that</w:t>
      </w:r>
      <w:r w:rsidRPr="00797515">
        <w:rPr>
          <w:rFonts w:ascii="Times New Roman" w:hAnsi="Times New Roman" w:cs="Times New Roman"/>
          <w:color w:val="000000" w:themeColor="text1"/>
        </w:rPr>
        <w:t xml:space="preserve"> although the plaintiff had </w:t>
      </w:r>
      <w:r w:rsidR="0046113D">
        <w:rPr>
          <w:rFonts w:ascii="Times New Roman" w:hAnsi="Times New Roman" w:cs="Times New Roman"/>
          <w:color w:val="000000" w:themeColor="text1"/>
        </w:rPr>
        <w:t xml:space="preserve">a policy </w:t>
      </w:r>
      <w:r w:rsidRPr="00797515">
        <w:rPr>
          <w:rFonts w:ascii="Times New Roman" w:hAnsi="Times New Roman" w:cs="Times New Roman"/>
          <w:color w:val="000000" w:themeColor="text1"/>
        </w:rPr>
        <w:t>in place requiring all confidential and trade secret information to be labelled as such, the stolen information was not actually labelled</w:t>
      </w:r>
      <w:r w:rsidR="0046113D">
        <w:rPr>
          <w:rFonts w:ascii="Times New Roman" w:hAnsi="Times New Roman" w:cs="Times New Roman"/>
          <w:color w:val="000000" w:themeColor="text1"/>
        </w:rPr>
        <w:t xml:space="preserve"> as such</w:t>
      </w:r>
      <w:r w:rsidRPr="00797515">
        <w:rPr>
          <w:rFonts w:ascii="Times New Roman" w:hAnsi="Times New Roman" w:cs="Times New Roman"/>
          <w:color w:val="000000" w:themeColor="text1"/>
        </w:rPr>
        <w:t xml:space="preserve">, the court finding that no reasonable jury could conclude that the defendant </w:t>
      </w:r>
      <w:r w:rsidR="0046113D">
        <w:rPr>
          <w:rFonts w:ascii="Times New Roman" w:hAnsi="Times New Roman" w:cs="Times New Roman"/>
          <w:color w:val="000000" w:themeColor="text1"/>
        </w:rPr>
        <w:t xml:space="preserve">therefore </w:t>
      </w:r>
      <w:r w:rsidRPr="00797515">
        <w:rPr>
          <w:rFonts w:ascii="Times New Roman" w:hAnsi="Times New Roman" w:cs="Times New Roman"/>
          <w:color w:val="000000" w:themeColor="text1"/>
        </w:rPr>
        <w:t xml:space="preserve">had a duty to maintain the secrecy of that information. </w:t>
      </w:r>
    </w:p>
    <w:p w:rsidR="0046113D" w:rsidRPr="0046113D" w:rsidRDefault="0046113D" w:rsidP="0046113D">
      <w:pPr>
        <w:spacing w:line="480" w:lineRule="auto"/>
        <w:rPr>
          <w:rFonts w:ascii="Times New Roman" w:hAnsi="Times New Roman" w:cs="Times New Roman"/>
          <w:color w:val="000000" w:themeColor="text1"/>
        </w:rPr>
      </w:pPr>
      <w:r w:rsidRPr="00797515">
        <w:rPr>
          <w:rFonts w:ascii="Times New Roman" w:hAnsi="Times New Roman" w:cs="Times New Roman"/>
          <w:color w:val="000000" w:themeColor="text1"/>
        </w:rPr>
        <w:t xml:space="preserve">U.S. Courts have also determined the loss of trade secret status when data was disclosed without the markings required under a </w:t>
      </w:r>
      <w:r w:rsidR="003C19B4">
        <w:rPr>
          <w:rFonts w:ascii="Times New Roman" w:hAnsi="Times New Roman" w:cs="Times New Roman"/>
          <w:color w:val="000000" w:themeColor="text1"/>
        </w:rPr>
        <w:t>confidentiality agreement</w:t>
      </w:r>
      <w:r w:rsidRPr="00797515">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20"/>
      </w:r>
    </w:p>
    <w:p w:rsidR="00441237" w:rsidRDefault="00441237" w:rsidP="00441237">
      <w:pPr>
        <w:pStyle w:val="ListParagraph"/>
        <w:numPr>
          <w:ilvl w:val="0"/>
          <w:numId w:val="19"/>
        </w:numPr>
        <w:spacing w:line="480" w:lineRule="auto"/>
        <w:rPr>
          <w:rFonts w:ascii="Times New Roman" w:hAnsi="Times New Roman" w:cs="Times New Roman (Body CS)"/>
          <w:b/>
          <w:bCs/>
          <w:i/>
          <w:iCs/>
        </w:rPr>
      </w:pPr>
      <w:r>
        <w:rPr>
          <w:rFonts w:ascii="Times New Roman" w:hAnsi="Times New Roman" w:cs="Times New Roman (Body CS)"/>
          <w:b/>
          <w:bCs/>
          <w:i/>
          <w:iCs/>
        </w:rPr>
        <w:lastRenderedPageBreak/>
        <w:t>Use Non-Disclosure Agreements</w:t>
      </w:r>
    </w:p>
    <w:p w:rsidR="00797515" w:rsidRPr="00797515" w:rsidRDefault="00702543" w:rsidP="0079751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What the U.S. cases indicate is making employees,</w:t>
      </w:r>
      <w:r w:rsidR="0046113D">
        <w:rPr>
          <w:rStyle w:val="FootnoteReference"/>
          <w:rFonts w:ascii="Times New Roman" w:hAnsi="Times New Roman" w:cs="Times New Roman"/>
          <w:color w:val="000000" w:themeColor="text1"/>
        </w:rPr>
        <w:footnoteReference w:id="21"/>
      </w:r>
      <w:r w:rsidR="00797515" w:rsidRPr="00797515">
        <w:rPr>
          <w:rFonts w:ascii="Times New Roman" w:hAnsi="Times New Roman" w:cs="Times New Roman"/>
          <w:color w:val="000000" w:themeColor="text1"/>
        </w:rPr>
        <w:t xml:space="preserve"> and anyone else the secret is revealed to</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22"/>
      </w:r>
      <w:r>
        <w:rPr>
          <w:rFonts w:ascii="Times New Roman" w:hAnsi="Times New Roman" w:cs="Times New Roman"/>
          <w:color w:val="000000" w:themeColor="text1"/>
        </w:rPr>
        <w:t xml:space="preserve"> subject to a confidentiality agreement </w:t>
      </w:r>
      <w:r w:rsidR="003C19B4">
        <w:rPr>
          <w:rFonts w:ascii="Times New Roman" w:hAnsi="Times New Roman" w:cs="Times New Roman"/>
          <w:color w:val="000000" w:themeColor="text1"/>
        </w:rPr>
        <w:t>is merely a starting point. Without more, a claim for trade secret protection is likely to fail.</w:t>
      </w:r>
      <w:r w:rsidR="007F5B73">
        <w:rPr>
          <w:rStyle w:val="FootnoteReference"/>
          <w:rFonts w:ascii="Times New Roman" w:hAnsi="Times New Roman" w:cs="Times New Roman"/>
          <w:color w:val="000000" w:themeColor="text1"/>
        </w:rPr>
        <w:footnoteReference w:id="23"/>
      </w:r>
      <w:r w:rsidR="007F5B73">
        <w:rPr>
          <w:rFonts w:ascii="Times New Roman" w:hAnsi="Times New Roman" w:cs="Times New Roman"/>
          <w:color w:val="000000" w:themeColor="text1"/>
        </w:rPr>
        <w:t xml:space="preserve"> </w:t>
      </w:r>
      <w:r w:rsidR="00797515" w:rsidRPr="00797515">
        <w:rPr>
          <w:rFonts w:ascii="Times New Roman" w:hAnsi="Times New Roman" w:cs="Times New Roman"/>
          <w:color w:val="000000" w:themeColor="text1"/>
        </w:rPr>
        <w:t xml:space="preserve">This is even more likely where the only step taken is a non-competitive covenant which is found to be unenforceable, which was the situation in </w:t>
      </w:r>
      <w:proofErr w:type="spellStart"/>
      <w:r w:rsidR="00797515" w:rsidRPr="00797515">
        <w:rPr>
          <w:rFonts w:ascii="Times New Roman" w:hAnsi="Times New Roman" w:cs="Times New Roman"/>
          <w:i/>
          <w:iCs/>
          <w:color w:val="000000" w:themeColor="text1"/>
        </w:rPr>
        <w:t>Arcor</w:t>
      </w:r>
      <w:proofErr w:type="spellEnd"/>
      <w:r w:rsidR="00797515" w:rsidRPr="00797515">
        <w:rPr>
          <w:rFonts w:ascii="Times New Roman" w:hAnsi="Times New Roman" w:cs="Times New Roman"/>
          <w:i/>
          <w:iCs/>
          <w:color w:val="000000" w:themeColor="text1"/>
        </w:rPr>
        <w:t xml:space="preserve"> v Haas</w:t>
      </w:r>
      <w:r w:rsidR="00797515" w:rsidRPr="00797515">
        <w:rPr>
          <w:rFonts w:ascii="Times New Roman" w:hAnsi="Times New Roman" w:cs="Times New Roman"/>
          <w:color w:val="000000" w:themeColor="text1"/>
        </w:rPr>
        <w:t>.</w:t>
      </w:r>
      <w:r w:rsidR="00797515">
        <w:rPr>
          <w:rStyle w:val="FootnoteReference"/>
          <w:rFonts w:ascii="Times New Roman" w:hAnsi="Times New Roman" w:cs="Times New Roman"/>
          <w:color w:val="000000" w:themeColor="text1"/>
        </w:rPr>
        <w:footnoteReference w:id="24"/>
      </w:r>
      <w:r w:rsidR="007F5B73" w:rsidRPr="007F5B73">
        <w:rPr>
          <w:rFonts w:ascii="Times New Roman" w:hAnsi="Times New Roman" w:cs="Times New Roman"/>
          <w:color w:val="000000" w:themeColor="text1"/>
        </w:rPr>
        <w:t xml:space="preserve"> Measures that go beyond normal business practices may be required</w:t>
      </w:r>
      <w:r w:rsidR="003C19B4">
        <w:rPr>
          <w:rFonts w:ascii="Times New Roman" w:hAnsi="Times New Roman" w:cs="Times New Roman"/>
          <w:color w:val="000000" w:themeColor="text1"/>
        </w:rPr>
        <w:t xml:space="preserve">, such as demonstrating that </w:t>
      </w:r>
      <w:r w:rsidR="00CA0F4B" w:rsidRPr="00413AC3">
        <w:rPr>
          <w:rFonts w:ascii="Times New Roman" w:hAnsi="Times New Roman" w:cs="Times New Roman"/>
          <w:color w:val="000000" w:themeColor="text1"/>
        </w:rPr>
        <w:t>employees understood that the data was to be kept confidential.</w:t>
      </w:r>
      <w:r w:rsidR="00CA0F4B">
        <w:rPr>
          <w:rStyle w:val="FootnoteReference"/>
          <w:rFonts w:ascii="Times New Roman" w:hAnsi="Times New Roman" w:cs="Times New Roman"/>
          <w:color w:val="000000" w:themeColor="text1"/>
        </w:rPr>
        <w:footnoteReference w:id="25"/>
      </w:r>
    </w:p>
    <w:p w:rsidR="00441237" w:rsidRPr="00CA0F4B" w:rsidRDefault="00797515" w:rsidP="00CA0F4B">
      <w:pPr>
        <w:spacing w:line="480" w:lineRule="auto"/>
        <w:rPr>
          <w:rFonts w:ascii="Times New Roman" w:hAnsi="Times New Roman" w:cs="Times New Roman"/>
          <w:color w:val="000000" w:themeColor="text1"/>
        </w:rPr>
      </w:pPr>
      <w:r w:rsidRPr="009768A1">
        <w:rPr>
          <w:rFonts w:ascii="Times New Roman" w:hAnsi="Times New Roman" w:cs="Times New Roman"/>
          <w:color w:val="000000" w:themeColor="text1"/>
        </w:rPr>
        <w:t xml:space="preserve">Reliance upon luck, rather than judgment, </w:t>
      </w:r>
      <w:r w:rsidR="00CA0F4B">
        <w:rPr>
          <w:rFonts w:ascii="Times New Roman" w:hAnsi="Times New Roman" w:cs="Times New Roman"/>
          <w:color w:val="000000" w:themeColor="text1"/>
        </w:rPr>
        <w:t>proved</w:t>
      </w:r>
      <w:r>
        <w:rPr>
          <w:rFonts w:ascii="Times New Roman" w:hAnsi="Times New Roman" w:cs="Times New Roman"/>
          <w:color w:val="000000" w:themeColor="text1"/>
        </w:rPr>
        <w:t xml:space="preserve"> </w:t>
      </w:r>
      <w:r w:rsidRPr="009768A1">
        <w:rPr>
          <w:rFonts w:ascii="Times New Roman" w:hAnsi="Times New Roman" w:cs="Times New Roman"/>
          <w:color w:val="000000" w:themeColor="text1"/>
        </w:rPr>
        <w:t xml:space="preserve">fatal to trade secret protection for the </w:t>
      </w:r>
      <w:r>
        <w:rPr>
          <w:rFonts w:ascii="Times New Roman" w:hAnsi="Times New Roman" w:cs="Times New Roman"/>
          <w:color w:val="000000" w:themeColor="text1"/>
        </w:rPr>
        <w:t>p</w:t>
      </w:r>
      <w:r w:rsidRPr="009768A1">
        <w:rPr>
          <w:rFonts w:ascii="Times New Roman" w:hAnsi="Times New Roman" w:cs="Times New Roman"/>
          <w:color w:val="000000" w:themeColor="text1"/>
        </w:rPr>
        <w:t xml:space="preserve">laintiff in </w:t>
      </w:r>
      <w:r w:rsidRPr="00640EDC">
        <w:rPr>
          <w:rFonts w:ascii="Times New Roman" w:hAnsi="Times New Roman" w:cs="Times New Roman"/>
          <w:i/>
          <w:iCs/>
          <w:color w:val="000000" w:themeColor="text1"/>
        </w:rPr>
        <w:t>CMBB LLC v Lockwood Mfg.</w:t>
      </w:r>
      <w:r>
        <w:rPr>
          <w:rStyle w:val="FootnoteReference"/>
          <w:rFonts w:ascii="Times New Roman" w:hAnsi="Times New Roman" w:cs="Times New Roman"/>
          <w:color w:val="000000" w:themeColor="text1"/>
        </w:rPr>
        <w:footnoteReference w:id="26"/>
      </w:r>
      <w:r w:rsidRPr="009768A1">
        <w:rPr>
          <w:rFonts w:ascii="Times New Roman" w:hAnsi="Times New Roman" w:cs="Times New Roman"/>
          <w:color w:val="000000" w:themeColor="text1"/>
        </w:rPr>
        <w:t xml:space="preserve"> The court</w:t>
      </w:r>
      <w:r w:rsidR="000B6834">
        <w:rPr>
          <w:rFonts w:ascii="Times New Roman" w:hAnsi="Times New Roman" w:cs="Times New Roman"/>
          <w:color w:val="000000" w:themeColor="text1"/>
        </w:rPr>
        <w:t xml:space="preserve"> </w:t>
      </w:r>
      <w:r w:rsidRPr="009768A1">
        <w:rPr>
          <w:rFonts w:ascii="Times New Roman" w:hAnsi="Times New Roman" w:cs="Times New Roman"/>
          <w:color w:val="000000" w:themeColor="text1"/>
        </w:rPr>
        <w:t xml:space="preserve">granted summary judgment in favour of the </w:t>
      </w:r>
      <w:r>
        <w:rPr>
          <w:rFonts w:ascii="Times New Roman" w:hAnsi="Times New Roman" w:cs="Times New Roman"/>
          <w:color w:val="000000" w:themeColor="text1"/>
        </w:rPr>
        <w:t>d</w:t>
      </w:r>
      <w:r w:rsidRPr="009768A1">
        <w:rPr>
          <w:rFonts w:ascii="Times New Roman" w:hAnsi="Times New Roman" w:cs="Times New Roman"/>
          <w:color w:val="000000" w:themeColor="text1"/>
        </w:rPr>
        <w:t xml:space="preserve">efendant, stating that the </w:t>
      </w:r>
      <w:r>
        <w:rPr>
          <w:rFonts w:ascii="Times New Roman" w:hAnsi="Times New Roman" w:cs="Times New Roman"/>
          <w:color w:val="000000" w:themeColor="text1"/>
        </w:rPr>
        <w:t>p</w:t>
      </w:r>
      <w:r w:rsidRPr="009768A1">
        <w:rPr>
          <w:rFonts w:ascii="Times New Roman" w:hAnsi="Times New Roman" w:cs="Times New Roman"/>
          <w:color w:val="000000" w:themeColor="text1"/>
        </w:rPr>
        <w:t>laintiff had “appeared to rely upon luck and a somewhat naïve faith in its employee-employer good will, rather than taking the necessary affirmative and calculated steps to safeguard what it now characterises as valuable and secret information</w:t>
      </w:r>
      <w:r>
        <w:rPr>
          <w:rFonts w:ascii="Times New Roman" w:hAnsi="Times New Roman" w:cs="Times New Roman"/>
          <w:color w:val="000000" w:themeColor="text1"/>
        </w:rPr>
        <w:t>.</w:t>
      </w:r>
      <w:r w:rsidRPr="009768A1">
        <w:rPr>
          <w:rFonts w:ascii="Times New Roman" w:hAnsi="Times New Roman" w:cs="Times New Roman"/>
          <w:color w:val="000000" w:themeColor="text1"/>
        </w:rPr>
        <w:t xml:space="preserve">” </w:t>
      </w:r>
    </w:p>
    <w:p w:rsidR="00441237" w:rsidRDefault="00441237" w:rsidP="00441237">
      <w:pPr>
        <w:pStyle w:val="ListParagraph"/>
        <w:numPr>
          <w:ilvl w:val="0"/>
          <w:numId w:val="19"/>
        </w:numPr>
        <w:spacing w:line="480" w:lineRule="auto"/>
        <w:rPr>
          <w:rFonts w:ascii="Times New Roman" w:hAnsi="Times New Roman" w:cs="Times New Roman (Body CS)"/>
          <w:b/>
          <w:bCs/>
          <w:i/>
          <w:iCs/>
        </w:rPr>
      </w:pPr>
      <w:r>
        <w:rPr>
          <w:rFonts w:ascii="Times New Roman" w:hAnsi="Times New Roman" w:cs="Times New Roman (Body CS)"/>
          <w:b/>
          <w:bCs/>
          <w:i/>
          <w:iCs/>
        </w:rPr>
        <w:t>Be mindful of the employment situation</w:t>
      </w:r>
    </w:p>
    <w:p w:rsidR="00CA0F4B" w:rsidRPr="00CA0F4B" w:rsidRDefault="00CA0F4B" w:rsidP="00CA0F4B">
      <w:pPr>
        <w:spacing w:line="480" w:lineRule="auto"/>
        <w:rPr>
          <w:rFonts w:ascii="Times New Roman" w:hAnsi="Times New Roman" w:cs="Times New Roman"/>
          <w:color w:val="000000" w:themeColor="text1"/>
        </w:rPr>
      </w:pPr>
      <w:r w:rsidRPr="00CA0F4B">
        <w:rPr>
          <w:rFonts w:ascii="Times New Roman" w:hAnsi="Times New Roman" w:cs="Times New Roman"/>
          <w:color w:val="000000" w:themeColor="text1"/>
        </w:rPr>
        <w:lastRenderedPageBreak/>
        <w:t>An analysis of trade secrets cases within the USA has revealed that in nine out of ten cases, at both the state and federal levels, the defendant was either an employee, former employee or otherwise a business partner.</w:t>
      </w:r>
      <w:r>
        <w:rPr>
          <w:rStyle w:val="FootnoteReference"/>
          <w:rFonts w:ascii="Times New Roman" w:hAnsi="Times New Roman" w:cs="Times New Roman"/>
          <w:color w:val="000000" w:themeColor="text1"/>
        </w:rPr>
        <w:footnoteReference w:id="27"/>
      </w:r>
    </w:p>
    <w:p w:rsidR="00CA0F4B" w:rsidRDefault="00222340" w:rsidP="00CA0F4B">
      <w:pPr>
        <w:spacing w:line="480" w:lineRule="auto"/>
        <w:rPr>
          <w:rFonts w:ascii="Times New Roman" w:hAnsi="Times New Roman" w:cs="Times New Roman"/>
          <w:color w:val="000000" w:themeColor="text1"/>
        </w:rPr>
      </w:pPr>
      <w:r w:rsidRPr="00222340">
        <w:rPr>
          <w:rFonts w:ascii="Times New Roman" w:hAnsi="Times New Roman" w:cs="Times New Roman"/>
          <w:color w:val="000000" w:themeColor="text1"/>
        </w:rPr>
        <w:t>One of the primary ways of revealing trade secrets to a competitor, is through employee misconduct, when they intentionally; unintentionally; or negligently misappropriate information. To combat this and to satisfy the requirement of “reasonable steps”, employers should limit access on a need-to-know basis; restrict ex-employee access; and institute a comprehensive system of employee education</w:t>
      </w:r>
      <w:r>
        <w:rPr>
          <w:rFonts w:ascii="Times New Roman" w:hAnsi="Times New Roman" w:cs="Times New Roman"/>
          <w:color w:val="000000" w:themeColor="text1"/>
        </w:rPr>
        <w:t>.</w:t>
      </w:r>
    </w:p>
    <w:p w:rsidR="004E6DAC" w:rsidRDefault="00222340" w:rsidP="0079751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I</w:t>
      </w:r>
      <w:r w:rsidR="00CA0F4B" w:rsidRPr="00CA0F4B">
        <w:rPr>
          <w:rFonts w:ascii="Times New Roman" w:hAnsi="Times New Roman" w:cs="Times New Roman"/>
          <w:color w:val="000000" w:themeColor="text1"/>
        </w:rPr>
        <w:t xml:space="preserve">n </w:t>
      </w:r>
      <w:r w:rsidR="00CA0F4B" w:rsidRPr="00CA0F4B">
        <w:rPr>
          <w:rFonts w:ascii="Times New Roman" w:hAnsi="Times New Roman" w:cs="Times New Roman"/>
          <w:i/>
          <w:iCs/>
          <w:color w:val="000000" w:themeColor="text1"/>
        </w:rPr>
        <w:t>Stampede Tool Warehouse Inc. v May</w:t>
      </w:r>
      <w:r w:rsidR="00CA0F4B" w:rsidRPr="00155FE5">
        <w:rPr>
          <w:rStyle w:val="FootnoteReference"/>
          <w:rFonts w:ascii="Times New Roman" w:hAnsi="Times New Roman" w:cs="Times New Roman"/>
          <w:color w:val="000000" w:themeColor="text1"/>
        </w:rPr>
        <w:footnoteReference w:id="28"/>
      </w:r>
      <w:r w:rsidR="00CA0F4B" w:rsidRPr="00CA0F4B">
        <w:rPr>
          <w:rFonts w:ascii="Times New Roman" w:hAnsi="Times New Roman" w:cs="Times New Roman"/>
          <w:color w:val="000000" w:themeColor="text1"/>
        </w:rPr>
        <w:t xml:space="preserve"> </w:t>
      </w:r>
      <w:r>
        <w:rPr>
          <w:rFonts w:ascii="Times New Roman" w:hAnsi="Times New Roman" w:cs="Times New Roman"/>
          <w:color w:val="000000" w:themeColor="text1"/>
        </w:rPr>
        <w:t>limited customer information was given to employees on a strict need-to-know basis. In addition,</w:t>
      </w:r>
      <w:r w:rsidR="00CA0F4B" w:rsidRPr="00CA0F4B">
        <w:rPr>
          <w:rFonts w:ascii="Times New Roman" w:hAnsi="Times New Roman" w:cs="Times New Roman"/>
          <w:color w:val="000000" w:themeColor="text1"/>
        </w:rPr>
        <w:t xml:space="preserve"> offices were kept locked; the garbage was checked daily; employees had special computer access codes; hard copies of customer lists, customer cards and call books used by the sales staff were kept under lock and key; security cameras were in place; and NDA’s were signed, which stated that the names of the customers could not be used or disclosed because they were the property of the plaintiff and were confidential. Not surprisingly, the court granted trade secret protection.</w:t>
      </w:r>
    </w:p>
    <w:p w:rsidR="00222340" w:rsidRDefault="00222340" w:rsidP="0079751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w:t>
      </w:r>
      <w:r w:rsidR="00797515" w:rsidRPr="00797515">
        <w:rPr>
          <w:rFonts w:ascii="Times New Roman" w:hAnsi="Times New Roman" w:cs="Times New Roman"/>
          <w:color w:val="000000" w:themeColor="text1"/>
        </w:rPr>
        <w:t xml:space="preserve">he time when employees leave a company is a high-risk situation for trade secrets theft. Recognising this fact, U.S. courts have noted the failure of a company to cut-off an ex-employee’s access to data, as supporting a finding that insufficient reasonable steps had been taken. In </w:t>
      </w:r>
      <w:proofErr w:type="spellStart"/>
      <w:r w:rsidR="00797515" w:rsidRPr="00797515">
        <w:rPr>
          <w:rFonts w:ascii="Times New Roman" w:hAnsi="Times New Roman" w:cs="Times New Roman"/>
          <w:i/>
          <w:iCs/>
          <w:color w:val="000000" w:themeColor="text1"/>
        </w:rPr>
        <w:t>Orthofix</w:t>
      </w:r>
      <w:proofErr w:type="spellEnd"/>
      <w:r w:rsidR="00797515" w:rsidRPr="00797515">
        <w:rPr>
          <w:rFonts w:ascii="Times New Roman" w:hAnsi="Times New Roman" w:cs="Times New Roman"/>
          <w:i/>
          <w:iCs/>
          <w:color w:val="000000" w:themeColor="text1"/>
        </w:rPr>
        <w:t xml:space="preserve"> Inc. v Hunter</w:t>
      </w:r>
      <w:r w:rsidR="00797515">
        <w:rPr>
          <w:rStyle w:val="FootnoteReference"/>
          <w:rFonts w:ascii="Times New Roman" w:hAnsi="Times New Roman" w:cs="Times New Roman"/>
          <w:color w:val="000000" w:themeColor="text1"/>
        </w:rPr>
        <w:footnoteReference w:id="29"/>
      </w:r>
      <w:r w:rsidR="00797515" w:rsidRPr="00797515">
        <w:rPr>
          <w:rFonts w:ascii="Times New Roman" w:hAnsi="Times New Roman" w:cs="Times New Roman"/>
          <w:color w:val="000000" w:themeColor="text1"/>
        </w:rPr>
        <w:t xml:space="preserve"> this was evidenced by the Plaintiff failing to make any meaningful efforts to seek the return of any trade secret information that the defendant </w:t>
      </w:r>
      <w:r w:rsidR="00797515" w:rsidRPr="00797515">
        <w:rPr>
          <w:rFonts w:ascii="Times New Roman" w:hAnsi="Times New Roman" w:cs="Times New Roman"/>
          <w:color w:val="000000" w:themeColor="text1"/>
        </w:rPr>
        <w:lastRenderedPageBreak/>
        <w:t xml:space="preserve">possessed. Similarly, allowing employees to store </w:t>
      </w:r>
      <w:r w:rsidR="005B0C16">
        <w:rPr>
          <w:rFonts w:ascii="Times New Roman" w:hAnsi="Times New Roman" w:cs="Times New Roman"/>
          <w:color w:val="000000" w:themeColor="text1"/>
        </w:rPr>
        <w:t>company</w:t>
      </w:r>
      <w:r w:rsidR="00797515" w:rsidRPr="00797515">
        <w:rPr>
          <w:rFonts w:ascii="Times New Roman" w:hAnsi="Times New Roman" w:cs="Times New Roman"/>
          <w:color w:val="000000" w:themeColor="text1"/>
        </w:rPr>
        <w:t xml:space="preserve"> information on personal devices and failing to request that th</w:t>
      </w:r>
      <w:r w:rsidR="005B0C16">
        <w:rPr>
          <w:rFonts w:ascii="Times New Roman" w:hAnsi="Times New Roman" w:cs="Times New Roman"/>
          <w:color w:val="000000" w:themeColor="text1"/>
        </w:rPr>
        <w:t>is</w:t>
      </w:r>
      <w:r w:rsidR="00797515" w:rsidRPr="00797515">
        <w:rPr>
          <w:rFonts w:ascii="Times New Roman" w:hAnsi="Times New Roman" w:cs="Times New Roman"/>
          <w:color w:val="000000" w:themeColor="text1"/>
        </w:rPr>
        <w:t xml:space="preserve"> company data was returned on them leaving employment, can be seen as a failure to take reasonable steps.</w:t>
      </w:r>
      <w:r w:rsidR="00797515">
        <w:rPr>
          <w:rStyle w:val="FootnoteReference"/>
          <w:rFonts w:ascii="Times New Roman" w:hAnsi="Times New Roman" w:cs="Times New Roman"/>
          <w:color w:val="000000" w:themeColor="text1"/>
        </w:rPr>
        <w:footnoteReference w:id="30"/>
      </w:r>
      <w:r w:rsidR="00797515" w:rsidRPr="00797515">
        <w:rPr>
          <w:rFonts w:ascii="Times New Roman" w:hAnsi="Times New Roman" w:cs="Times New Roman"/>
          <w:color w:val="000000" w:themeColor="text1"/>
        </w:rPr>
        <w:t xml:space="preserve">  </w:t>
      </w:r>
    </w:p>
    <w:p w:rsidR="001A3219" w:rsidRPr="00413AC3" w:rsidRDefault="00797515" w:rsidP="001A3219">
      <w:pPr>
        <w:spacing w:line="480" w:lineRule="auto"/>
        <w:rPr>
          <w:rFonts w:ascii="Times New Roman" w:hAnsi="Times New Roman" w:cs="Times New Roman"/>
          <w:color w:val="000000" w:themeColor="text1"/>
        </w:rPr>
      </w:pPr>
      <w:r w:rsidRPr="00413AC3">
        <w:rPr>
          <w:rFonts w:ascii="Times New Roman" w:hAnsi="Times New Roman" w:cs="Times New Roman"/>
          <w:color w:val="000000" w:themeColor="text1"/>
        </w:rPr>
        <w:t xml:space="preserve">In </w:t>
      </w:r>
      <w:r w:rsidRPr="00C1714A">
        <w:rPr>
          <w:rFonts w:ascii="Times New Roman" w:hAnsi="Times New Roman" w:cs="Times New Roman"/>
          <w:i/>
          <w:iCs/>
          <w:color w:val="000000" w:themeColor="text1"/>
        </w:rPr>
        <w:t>Liebert v Mazur</w:t>
      </w:r>
      <w:r>
        <w:rPr>
          <w:rStyle w:val="FootnoteReference"/>
          <w:rFonts w:ascii="Times New Roman" w:hAnsi="Times New Roman" w:cs="Times New Roman"/>
          <w:color w:val="000000" w:themeColor="text1"/>
        </w:rPr>
        <w:footnoteReference w:id="31"/>
      </w:r>
      <w:r w:rsidRPr="00413AC3">
        <w:rPr>
          <w:rFonts w:ascii="Times New Roman" w:hAnsi="Times New Roman" w:cs="Times New Roman"/>
          <w:color w:val="000000" w:themeColor="text1"/>
        </w:rPr>
        <w:t xml:space="preserve"> it was noted that in every case relied upon by the </w:t>
      </w:r>
      <w:r>
        <w:rPr>
          <w:rFonts w:ascii="Times New Roman" w:hAnsi="Times New Roman" w:cs="Times New Roman"/>
          <w:color w:val="000000" w:themeColor="text1"/>
        </w:rPr>
        <w:t>p</w:t>
      </w:r>
      <w:r w:rsidRPr="00413AC3">
        <w:rPr>
          <w:rFonts w:ascii="Times New Roman" w:hAnsi="Times New Roman" w:cs="Times New Roman"/>
          <w:color w:val="000000" w:themeColor="text1"/>
        </w:rPr>
        <w:t>laintiff, where reasonable steps had been found to have been taken, the trade secret</w:t>
      </w:r>
      <w:r w:rsidR="008452EE">
        <w:rPr>
          <w:rFonts w:ascii="Times New Roman" w:hAnsi="Times New Roman" w:cs="Times New Roman"/>
          <w:color w:val="000000" w:themeColor="text1"/>
        </w:rPr>
        <w:t>s</w:t>
      </w:r>
      <w:r w:rsidRPr="00413AC3">
        <w:rPr>
          <w:rFonts w:ascii="Times New Roman" w:hAnsi="Times New Roman" w:cs="Times New Roman"/>
          <w:color w:val="000000" w:themeColor="text1"/>
        </w:rPr>
        <w:t xml:space="preserve"> owner had informed its employees verbally or in writing, about confidentiality. </w:t>
      </w:r>
    </w:p>
    <w:p w:rsidR="00441237" w:rsidRDefault="00441237" w:rsidP="00441237">
      <w:pPr>
        <w:pStyle w:val="ListParagraph"/>
        <w:numPr>
          <w:ilvl w:val="0"/>
          <w:numId w:val="19"/>
        </w:numPr>
        <w:spacing w:line="480" w:lineRule="auto"/>
        <w:rPr>
          <w:rFonts w:ascii="Times New Roman" w:hAnsi="Times New Roman" w:cs="Times New Roman (Body CS)"/>
          <w:b/>
          <w:bCs/>
          <w:i/>
          <w:iCs/>
        </w:rPr>
      </w:pPr>
      <w:r>
        <w:rPr>
          <w:rFonts w:ascii="Times New Roman" w:hAnsi="Times New Roman" w:cs="Times New Roman (Body CS)"/>
          <w:b/>
          <w:bCs/>
          <w:i/>
          <w:iCs/>
        </w:rPr>
        <w:t>Review your IP cybersecurity</w:t>
      </w:r>
    </w:p>
    <w:p w:rsidR="00441237" w:rsidRDefault="00441237" w:rsidP="00441237">
      <w:pPr>
        <w:spacing w:line="480" w:lineRule="auto"/>
        <w:rPr>
          <w:rFonts w:ascii="Times New Roman" w:hAnsi="Times New Roman" w:cs="Times New Roman"/>
          <w:color w:val="000000" w:themeColor="text1"/>
        </w:rPr>
      </w:pPr>
      <w:r w:rsidRPr="00441237">
        <w:rPr>
          <w:rFonts w:ascii="Times New Roman" w:hAnsi="Times New Roman" w:cs="Times New Roman"/>
          <w:color w:val="000000" w:themeColor="text1"/>
        </w:rPr>
        <w:t>In the USA it has been stated that “it is not necessary that an ‘impenetrable fortress’ be erected to retain legal protection for trade secrets.”</w:t>
      </w:r>
      <w:r>
        <w:rPr>
          <w:rStyle w:val="FootnoteReference"/>
          <w:rFonts w:ascii="Times New Roman" w:hAnsi="Times New Roman" w:cs="Times New Roman"/>
          <w:color w:val="000000" w:themeColor="text1"/>
        </w:rPr>
        <w:footnoteReference w:id="32"/>
      </w:r>
      <w:r w:rsidRPr="00441237">
        <w:rPr>
          <w:rFonts w:ascii="Times New Roman" w:hAnsi="Times New Roman" w:cs="Times New Roman"/>
          <w:color w:val="000000" w:themeColor="text1"/>
        </w:rPr>
        <w:t xml:space="preserve"> However, an analysis of U.S. jurisprudence leaves the reader with a distinct impression that even if an “impenetrable fortress” is not a necessity, and especially perhaps for smaller enterprises, the burden placed upon the party alleging a trade secret is still a surprisingly onerous one. </w:t>
      </w:r>
    </w:p>
    <w:p w:rsidR="00441237" w:rsidRDefault="00D03500" w:rsidP="007C02D3">
      <w:pPr>
        <w:spacing w:line="480" w:lineRule="auto"/>
        <w:rPr>
          <w:rFonts w:ascii="Times New Roman" w:hAnsi="Times New Roman" w:cs="Times New Roman"/>
          <w:color w:val="000000" w:themeColor="text1"/>
          <w:lang w:val="en-US"/>
        </w:rPr>
      </w:pPr>
      <w:r w:rsidRPr="00D03500">
        <w:rPr>
          <w:rFonts w:ascii="Times New Roman" w:hAnsi="Times New Roman" w:cs="Times New Roman"/>
          <w:color w:val="000000" w:themeColor="text1"/>
          <w:lang w:val="en-US"/>
        </w:rPr>
        <w:t>U.S. courts have a</w:t>
      </w:r>
      <w:r w:rsidR="008452EE">
        <w:rPr>
          <w:rFonts w:ascii="Times New Roman" w:hAnsi="Times New Roman" w:cs="Times New Roman"/>
          <w:color w:val="000000" w:themeColor="text1"/>
          <w:lang w:val="en-US"/>
        </w:rPr>
        <w:t>ss</w:t>
      </w:r>
      <w:r w:rsidRPr="00D03500">
        <w:rPr>
          <w:rFonts w:ascii="Times New Roman" w:hAnsi="Times New Roman" w:cs="Times New Roman"/>
          <w:color w:val="000000" w:themeColor="text1"/>
          <w:lang w:val="en-US"/>
        </w:rPr>
        <w:t xml:space="preserve">essed </w:t>
      </w:r>
      <w:r w:rsidR="008452EE">
        <w:rPr>
          <w:rFonts w:ascii="Times New Roman" w:hAnsi="Times New Roman" w:cs="Times New Roman"/>
          <w:color w:val="000000" w:themeColor="text1"/>
          <w:lang w:val="en-US"/>
        </w:rPr>
        <w:t xml:space="preserve">the taking of </w:t>
      </w:r>
      <w:r w:rsidRPr="00D03500">
        <w:rPr>
          <w:rFonts w:ascii="Times New Roman" w:hAnsi="Times New Roman" w:cs="Times New Roman"/>
          <w:color w:val="000000" w:themeColor="text1"/>
          <w:lang w:val="en-US"/>
        </w:rPr>
        <w:t xml:space="preserve">“reasonable steps” in IP cybersecurity to include:- identity and access management (password protection; need-to-know access, secure server storage); data security measures (USB use restrictions, distribution controls); perimeter and network </w:t>
      </w:r>
      <w:proofErr w:type="spellStart"/>
      <w:r w:rsidRPr="00D03500">
        <w:rPr>
          <w:rFonts w:ascii="Times New Roman" w:hAnsi="Times New Roman" w:cs="Times New Roman"/>
          <w:color w:val="000000" w:themeColor="text1"/>
          <w:lang w:val="en-US"/>
        </w:rPr>
        <w:t>defences</w:t>
      </w:r>
      <w:proofErr w:type="spellEnd"/>
      <w:r w:rsidRPr="00D03500">
        <w:rPr>
          <w:rFonts w:ascii="Times New Roman" w:hAnsi="Times New Roman" w:cs="Times New Roman"/>
          <w:color w:val="000000" w:themeColor="text1"/>
          <w:lang w:val="en-US"/>
        </w:rPr>
        <w:t xml:space="preserve"> (firewalls, data encryption, online use restrictions); communication (pop-up warnings); and email monitoring.</w:t>
      </w:r>
      <w:r w:rsidR="00EE5ED4">
        <w:rPr>
          <w:rStyle w:val="FootnoteReference"/>
          <w:rFonts w:ascii="Times New Roman" w:hAnsi="Times New Roman" w:cs="Times New Roman"/>
          <w:color w:val="000000" w:themeColor="text1"/>
          <w:lang w:val="en-US"/>
        </w:rPr>
        <w:footnoteReference w:id="33"/>
      </w:r>
    </w:p>
    <w:p w:rsidR="007C02D3" w:rsidRPr="007C02D3" w:rsidRDefault="007C02D3" w:rsidP="007C02D3">
      <w:pPr>
        <w:spacing w:line="480" w:lineRule="auto"/>
        <w:rPr>
          <w:rFonts w:ascii="Times New Roman" w:hAnsi="Times New Roman" w:cs="Times New Roman"/>
          <w:color w:val="000000" w:themeColor="text1"/>
        </w:rPr>
      </w:pPr>
      <w:r w:rsidRPr="000D5272">
        <w:rPr>
          <w:rFonts w:ascii="Times New Roman" w:hAnsi="Times New Roman" w:cs="Times New Roman"/>
          <w:color w:val="000000" w:themeColor="text1"/>
        </w:rPr>
        <w:lastRenderedPageBreak/>
        <w:t xml:space="preserve">Whilst any steps taken must be reasonable, they need not be </w:t>
      </w:r>
      <w:r w:rsidR="00933789">
        <w:rPr>
          <w:rFonts w:ascii="Times New Roman" w:hAnsi="Times New Roman" w:cs="Times New Roman"/>
          <w:color w:val="000000" w:themeColor="text1"/>
        </w:rPr>
        <w:t>any more than that</w:t>
      </w:r>
      <w:r w:rsidRPr="000D5272">
        <w:rPr>
          <w:rFonts w:ascii="Times New Roman" w:hAnsi="Times New Roman" w:cs="Times New Roman"/>
          <w:color w:val="000000" w:themeColor="text1"/>
        </w:rPr>
        <w:t xml:space="preserve">. In </w:t>
      </w:r>
      <w:r w:rsidRPr="000D5272">
        <w:rPr>
          <w:rFonts w:ascii="Times New Roman" w:hAnsi="Times New Roman" w:cs="Times New Roman"/>
          <w:i/>
          <w:iCs/>
          <w:color w:val="000000" w:themeColor="text1"/>
        </w:rPr>
        <w:t xml:space="preserve">Learning Curve Toys Inc. v </w:t>
      </w:r>
      <w:proofErr w:type="spellStart"/>
      <w:r w:rsidRPr="000D5272">
        <w:rPr>
          <w:rFonts w:ascii="Times New Roman" w:hAnsi="Times New Roman" w:cs="Times New Roman"/>
          <w:i/>
          <w:iCs/>
          <w:color w:val="000000" w:themeColor="text1"/>
        </w:rPr>
        <w:t>Playwood</w:t>
      </w:r>
      <w:proofErr w:type="spellEnd"/>
      <w:r w:rsidRPr="000D5272">
        <w:rPr>
          <w:rFonts w:ascii="Times New Roman" w:hAnsi="Times New Roman" w:cs="Times New Roman"/>
          <w:i/>
          <w:iCs/>
          <w:color w:val="000000" w:themeColor="text1"/>
        </w:rPr>
        <w:t xml:space="preserve"> Toys Inc.</w:t>
      </w:r>
      <w:r>
        <w:rPr>
          <w:rStyle w:val="FootnoteReference"/>
          <w:rFonts w:ascii="Times New Roman" w:hAnsi="Times New Roman" w:cs="Times New Roman"/>
          <w:color w:val="000000" w:themeColor="text1"/>
        </w:rPr>
        <w:footnoteReference w:id="34"/>
      </w:r>
      <w:r w:rsidRPr="000D5272">
        <w:rPr>
          <w:rFonts w:ascii="Times New Roman" w:hAnsi="Times New Roman" w:cs="Times New Roman"/>
          <w:color w:val="000000" w:themeColor="text1"/>
        </w:rPr>
        <w:t xml:space="preserve"> the court </w:t>
      </w:r>
      <w:r>
        <w:rPr>
          <w:rFonts w:ascii="Times New Roman" w:hAnsi="Times New Roman" w:cs="Times New Roman"/>
          <w:color w:val="000000" w:themeColor="text1"/>
        </w:rPr>
        <w:t xml:space="preserve">made clear that whilst it </w:t>
      </w:r>
      <w:r w:rsidRPr="000D5272">
        <w:rPr>
          <w:rFonts w:ascii="Times New Roman" w:hAnsi="Times New Roman" w:cs="Times New Roman"/>
          <w:color w:val="000000" w:themeColor="text1"/>
        </w:rPr>
        <w:t>“requires reasonable steps to maintain secrecy, it does not require perfection.”</w:t>
      </w:r>
    </w:p>
    <w:p w:rsidR="00441237" w:rsidRDefault="00441237" w:rsidP="00441237">
      <w:pPr>
        <w:pStyle w:val="ListParagraph"/>
        <w:numPr>
          <w:ilvl w:val="0"/>
          <w:numId w:val="19"/>
        </w:numPr>
        <w:spacing w:line="480" w:lineRule="auto"/>
        <w:rPr>
          <w:rFonts w:ascii="Times New Roman" w:hAnsi="Times New Roman" w:cs="Times New Roman (Body CS)"/>
          <w:b/>
          <w:bCs/>
          <w:i/>
          <w:iCs/>
        </w:rPr>
      </w:pPr>
      <w:r>
        <w:rPr>
          <w:rFonts w:ascii="Times New Roman" w:hAnsi="Times New Roman" w:cs="Times New Roman (Body CS)"/>
          <w:b/>
          <w:bCs/>
          <w:i/>
          <w:iCs/>
        </w:rPr>
        <w:t>Acquiescence is not an option</w:t>
      </w:r>
    </w:p>
    <w:p w:rsidR="00797515" w:rsidRPr="00797515" w:rsidRDefault="00797515" w:rsidP="00797515">
      <w:pPr>
        <w:spacing w:line="480" w:lineRule="auto"/>
        <w:rPr>
          <w:rFonts w:ascii="Times New Roman" w:hAnsi="Times New Roman" w:cs="Times New Roman"/>
          <w:color w:val="000000" w:themeColor="text1"/>
        </w:rPr>
      </w:pPr>
      <w:r w:rsidRPr="00797515">
        <w:rPr>
          <w:rFonts w:ascii="Times New Roman" w:hAnsi="Times New Roman" w:cs="Times New Roman"/>
          <w:color w:val="000000" w:themeColor="text1"/>
        </w:rPr>
        <w:t xml:space="preserve">The owner of trade secrets must be vigilant in protecting its confidential nature. Poor enforcement of measures may be worse than no protective measures at all. This was evidenced in the case of </w:t>
      </w:r>
      <w:r w:rsidRPr="00797515">
        <w:rPr>
          <w:rFonts w:ascii="Times New Roman" w:hAnsi="Times New Roman" w:cs="Times New Roman"/>
          <w:i/>
          <w:iCs/>
          <w:color w:val="000000" w:themeColor="text1"/>
        </w:rPr>
        <w:t>Compuware Corp. v Health Care Serv. Corp.</w:t>
      </w:r>
      <w:r>
        <w:rPr>
          <w:rStyle w:val="FootnoteReference"/>
          <w:rFonts w:ascii="Times New Roman" w:hAnsi="Times New Roman" w:cs="Times New Roman"/>
          <w:color w:val="000000" w:themeColor="text1"/>
        </w:rPr>
        <w:footnoteReference w:id="35"/>
      </w:r>
      <w:r w:rsidRPr="00797515">
        <w:rPr>
          <w:rFonts w:ascii="Times New Roman" w:hAnsi="Times New Roman" w:cs="Times New Roman"/>
          <w:color w:val="000000" w:themeColor="text1"/>
        </w:rPr>
        <w:t xml:space="preserve"> in which it was an undisputed fact that the Plaintiff had known for several months prior to bringing the</w:t>
      </w:r>
      <w:r w:rsidR="001A3219">
        <w:rPr>
          <w:rFonts w:ascii="Times New Roman" w:hAnsi="Times New Roman" w:cs="Times New Roman"/>
          <w:color w:val="000000" w:themeColor="text1"/>
        </w:rPr>
        <w:t>ir</w:t>
      </w:r>
      <w:r w:rsidRPr="00797515">
        <w:rPr>
          <w:rFonts w:ascii="Times New Roman" w:hAnsi="Times New Roman" w:cs="Times New Roman"/>
          <w:color w:val="000000" w:themeColor="text1"/>
        </w:rPr>
        <w:t xml:space="preserve"> claim, that the licensee was allowing a third party to use the licensed software, but took no action to prevent this happening, until it became aware that they were using it for an unapproved purpose. </w:t>
      </w:r>
      <w:r w:rsidR="001A3219">
        <w:rPr>
          <w:rFonts w:ascii="Times New Roman" w:hAnsi="Times New Roman" w:cs="Times New Roman"/>
          <w:color w:val="000000" w:themeColor="text1"/>
        </w:rPr>
        <w:t xml:space="preserve">The court determined </w:t>
      </w:r>
      <w:r w:rsidR="008C3D0B">
        <w:rPr>
          <w:rFonts w:ascii="Times New Roman" w:hAnsi="Times New Roman" w:cs="Times New Roman"/>
          <w:color w:val="000000" w:themeColor="text1"/>
        </w:rPr>
        <w:t xml:space="preserve">such </w:t>
      </w:r>
      <w:r w:rsidRPr="00797515">
        <w:rPr>
          <w:rFonts w:ascii="Times New Roman" w:hAnsi="Times New Roman" w:cs="Times New Roman"/>
          <w:color w:val="000000" w:themeColor="text1"/>
        </w:rPr>
        <w:t xml:space="preserve">inactivity was </w:t>
      </w:r>
      <w:r w:rsidR="008C3D0B">
        <w:rPr>
          <w:rFonts w:ascii="Times New Roman" w:hAnsi="Times New Roman" w:cs="Times New Roman"/>
          <w:color w:val="000000" w:themeColor="text1"/>
        </w:rPr>
        <w:t xml:space="preserve">critical </w:t>
      </w:r>
      <w:r w:rsidR="00343BD3">
        <w:rPr>
          <w:rFonts w:ascii="Times New Roman" w:hAnsi="Times New Roman" w:cs="Times New Roman"/>
          <w:color w:val="000000" w:themeColor="text1"/>
        </w:rPr>
        <w:t>to</w:t>
      </w:r>
      <w:r w:rsidRPr="00797515">
        <w:rPr>
          <w:rFonts w:ascii="Times New Roman" w:hAnsi="Times New Roman" w:cs="Times New Roman"/>
          <w:color w:val="000000" w:themeColor="text1"/>
        </w:rPr>
        <w:t xml:space="preserve"> its </w:t>
      </w:r>
      <w:r w:rsidR="00343BD3">
        <w:rPr>
          <w:rFonts w:ascii="Times New Roman" w:hAnsi="Times New Roman" w:cs="Times New Roman"/>
          <w:color w:val="000000" w:themeColor="text1"/>
        </w:rPr>
        <w:t xml:space="preserve">trade secrets </w:t>
      </w:r>
      <w:r w:rsidRPr="00797515">
        <w:rPr>
          <w:rFonts w:ascii="Times New Roman" w:hAnsi="Times New Roman" w:cs="Times New Roman"/>
          <w:color w:val="000000" w:themeColor="text1"/>
        </w:rPr>
        <w:t>claim</w:t>
      </w:r>
      <w:r w:rsidR="00343BD3">
        <w:rPr>
          <w:rFonts w:ascii="Times New Roman" w:hAnsi="Times New Roman" w:cs="Times New Roman"/>
          <w:color w:val="000000" w:themeColor="text1"/>
        </w:rPr>
        <w:t>,</w:t>
      </w:r>
      <w:r w:rsidRPr="00797515">
        <w:rPr>
          <w:rFonts w:ascii="Times New Roman" w:hAnsi="Times New Roman" w:cs="Times New Roman"/>
          <w:color w:val="000000" w:themeColor="text1"/>
        </w:rPr>
        <w:t xml:space="preserve"> “</w:t>
      </w:r>
      <w:r w:rsidR="00343BD3">
        <w:rPr>
          <w:rFonts w:ascii="Times New Roman" w:hAnsi="Times New Roman" w:cs="Times New Roman"/>
          <w:color w:val="000000" w:themeColor="text1"/>
        </w:rPr>
        <w:t>[</w:t>
      </w:r>
      <w:r w:rsidRPr="00797515">
        <w:rPr>
          <w:rFonts w:ascii="Times New Roman" w:hAnsi="Times New Roman" w:cs="Times New Roman"/>
          <w:color w:val="000000" w:themeColor="text1"/>
        </w:rPr>
        <w:t>A</w:t>
      </w:r>
      <w:r w:rsidR="00343BD3">
        <w:rPr>
          <w:rFonts w:ascii="Times New Roman" w:hAnsi="Times New Roman" w:cs="Times New Roman"/>
          <w:color w:val="000000" w:themeColor="text1"/>
        </w:rPr>
        <w:t>]</w:t>
      </w:r>
      <w:r w:rsidRPr="00797515">
        <w:rPr>
          <w:rFonts w:ascii="Times New Roman" w:hAnsi="Times New Roman" w:cs="Times New Roman"/>
          <w:color w:val="000000" w:themeColor="text1"/>
        </w:rPr>
        <w:t>s a matter of law, doing nothing to enforce a confidentiality agreement is not a reasonable effort….to maintain a trade secret.”</w:t>
      </w:r>
      <w:r>
        <w:rPr>
          <w:rStyle w:val="FootnoteReference"/>
          <w:rFonts w:ascii="Times New Roman" w:hAnsi="Times New Roman" w:cs="Times New Roman"/>
          <w:color w:val="000000" w:themeColor="text1"/>
        </w:rPr>
        <w:footnoteReference w:id="36"/>
      </w:r>
      <w:r w:rsidRPr="00797515">
        <w:rPr>
          <w:rFonts w:ascii="Times New Roman" w:hAnsi="Times New Roman" w:cs="Times New Roman"/>
          <w:color w:val="000000" w:themeColor="text1"/>
        </w:rPr>
        <w:t xml:space="preserve"> </w:t>
      </w:r>
    </w:p>
    <w:p w:rsidR="00441237" w:rsidRDefault="00441237" w:rsidP="00441237">
      <w:pPr>
        <w:pStyle w:val="ListParagraph"/>
        <w:numPr>
          <w:ilvl w:val="0"/>
          <w:numId w:val="19"/>
        </w:numPr>
        <w:spacing w:line="480" w:lineRule="auto"/>
        <w:rPr>
          <w:rFonts w:ascii="Times New Roman" w:hAnsi="Times New Roman" w:cs="Times New Roman (Body CS)"/>
          <w:b/>
          <w:bCs/>
          <w:i/>
          <w:iCs/>
        </w:rPr>
      </w:pPr>
      <w:r>
        <w:rPr>
          <w:rFonts w:ascii="Times New Roman" w:hAnsi="Times New Roman" w:cs="Times New Roman (Body CS)"/>
          <w:b/>
          <w:bCs/>
          <w:i/>
          <w:iCs/>
        </w:rPr>
        <w:t>Size does matter</w:t>
      </w:r>
    </w:p>
    <w:p w:rsidR="000D5272" w:rsidRPr="000D5272" w:rsidRDefault="000D5272" w:rsidP="000D5272">
      <w:pPr>
        <w:spacing w:line="480" w:lineRule="auto"/>
        <w:rPr>
          <w:rFonts w:ascii="Times New Roman" w:hAnsi="Times New Roman" w:cs="Times New Roman"/>
          <w:color w:val="000000" w:themeColor="text1"/>
        </w:rPr>
      </w:pPr>
      <w:r w:rsidRPr="000D5272">
        <w:rPr>
          <w:rFonts w:ascii="Times New Roman" w:hAnsi="Times New Roman" w:cs="Times New Roman (Body CS)"/>
        </w:rPr>
        <w:t xml:space="preserve">There has been much speculation that “under the circumstances” will allow for a more favourable treatment of SMEs under the new Regulations, via </w:t>
      </w:r>
      <w:r w:rsidR="00A34E77">
        <w:rPr>
          <w:rFonts w:ascii="Times New Roman" w:hAnsi="Times New Roman" w:cs="Times New Roman (Body CS)"/>
        </w:rPr>
        <w:t xml:space="preserve">the </w:t>
      </w:r>
      <w:r w:rsidRPr="000D5272">
        <w:rPr>
          <w:rFonts w:ascii="Times New Roman" w:hAnsi="Times New Roman" w:cs="Times New Roman (Body CS)"/>
        </w:rPr>
        <w:t>judicial adoption of a lower benchmark</w:t>
      </w:r>
      <w:r w:rsidR="00A34E77">
        <w:rPr>
          <w:rFonts w:ascii="Times New Roman" w:hAnsi="Times New Roman" w:cs="Times New Roman (Body CS)"/>
        </w:rPr>
        <w:t xml:space="preserve"> for smaller companies</w:t>
      </w:r>
      <w:r w:rsidRPr="000D5272">
        <w:rPr>
          <w:rFonts w:ascii="Times New Roman" w:hAnsi="Times New Roman" w:cs="Times New Roman (Body CS)"/>
        </w:rPr>
        <w:t>.</w:t>
      </w:r>
      <w:r>
        <w:rPr>
          <w:rStyle w:val="FootnoteReference"/>
          <w:rFonts w:ascii="Times New Roman" w:hAnsi="Times New Roman" w:cs="Times New Roman (Body CS)"/>
        </w:rPr>
        <w:footnoteReference w:id="37"/>
      </w:r>
      <w:r w:rsidRPr="000D5272">
        <w:rPr>
          <w:rFonts w:ascii="Times New Roman" w:eastAsia="Times New Roman" w:hAnsi="Times New Roman" w:cs="Times New Roman"/>
          <w:sz w:val="20"/>
          <w:szCs w:val="20"/>
          <w:lang w:eastAsia="en-GB"/>
        </w:rPr>
        <w:t xml:space="preserve"> </w:t>
      </w:r>
      <w:r w:rsidRPr="000D5272">
        <w:rPr>
          <w:rFonts w:ascii="Times New Roman" w:hAnsi="Times New Roman" w:cs="Times New Roman"/>
          <w:color w:val="000000" w:themeColor="text1"/>
        </w:rPr>
        <w:t xml:space="preserve">In </w:t>
      </w:r>
      <w:proofErr w:type="spellStart"/>
      <w:r w:rsidRPr="000D5272">
        <w:rPr>
          <w:rFonts w:ascii="Times New Roman" w:hAnsi="Times New Roman" w:cs="Times New Roman"/>
          <w:i/>
          <w:iCs/>
          <w:color w:val="000000" w:themeColor="text1"/>
        </w:rPr>
        <w:t>Puroon</w:t>
      </w:r>
      <w:proofErr w:type="spellEnd"/>
      <w:r w:rsidRPr="000D5272">
        <w:rPr>
          <w:rFonts w:ascii="Times New Roman" w:hAnsi="Times New Roman" w:cs="Times New Roman"/>
          <w:i/>
          <w:iCs/>
          <w:color w:val="000000" w:themeColor="text1"/>
        </w:rPr>
        <w:t xml:space="preserve"> v Midwest Photographic Res. Ctr. Inc.</w:t>
      </w:r>
      <w:r>
        <w:rPr>
          <w:rStyle w:val="FootnoteReference"/>
          <w:rFonts w:ascii="Times New Roman" w:hAnsi="Times New Roman" w:cs="Times New Roman"/>
          <w:color w:val="000000" w:themeColor="text1"/>
        </w:rPr>
        <w:footnoteReference w:id="38"/>
      </w:r>
      <w:r w:rsidRPr="000D5272">
        <w:rPr>
          <w:rFonts w:ascii="Times New Roman" w:hAnsi="Times New Roman" w:cs="Times New Roman"/>
          <w:color w:val="000000" w:themeColor="text1"/>
        </w:rPr>
        <w:t xml:space="preserve"> a court in the Northern District of Illinois, determined that “reasonable steps for a two or three person operated shop, may be different from reasonable steps for a larger company,” and </w:t>
      </w:r>
      <w:r w:rsidRPr="000D5272">
        <w:rPr>
          <w:rFonts w:ascii="Times New Roman" w:hAnsi="Times New Roman" w:cs="Times New Roman"/>
          <w:color w:val="000000" w:themeColor="text1"/>
        </w:rPr>
        <w:lastRenderedPageBreak/>
        <w:t xml:space="preserve">given the fact that </w:t>
      </w:r>
      <w:proofErr w:type="spellStart"/>
      <w:r w:rsidRPr="000D5272">
        <w:rPr>
          <w:rFonts w:ascii="Times New Roman" w:hAnsi="Times New Roman" w:cs="Times New Roman"/>
          <w:color w:val="000000" w:themeColor="text1"/>
        </w:rPr>
        <w:t>Puroon</w:t>
      </w:r>
      <w:proofErr w:type="spellEnd"/>
      <w:r w:rsidRPr="000D5272">
        <w:rPr>
          <w:rFonts w:ascii="Times New Roman" w:hAnsi="Times New Roman" w:cs="Times New Roman"/>
          <w:color w:val="000000" w:themeColor="text1"/>
        </w:rPr>
        <w:t xml:space="preserve"> was a company owned by a single person, a reasonable jury could find that the efforts of its founder and CEO to show physical prototypes of its photo album product to a limited number of potential customers and granting full access to its manufacturing specifications, only after the NDA was signed, were adequate steps to protect the company’s secrets.</w:t>
      </w:r>
    </w:p>
    <w:p w:rsidR="00441237" w:rsidRPr="007C02D3" w:rsidRDefault="000D5272" w:rsidP="007C02D3">
      <w:pPr>
        <w:spacing w:line="480" w:lineRule="auto"/>
        <w:rPr>
          <w:rFonts w:ascii="Times New Roman" w:hAnsi="Times New Roman" w:cs="Times New Roman"/>
          <w:color w:val="000000" w:themeColor="text1"/>
        </w:rPr>
      </w:pPr>
      <w:r w:rsidRPr="00663AD0">
        <w:rPr>
          <w:rFonts w:ascii="Times New Roman" w:hAnsi="Times New Roman" w:cs="Times New Roman"/>
          <w:color w:val="000000" w:themeColor="text1"/>
        </w:rPr>
        <w:t xml:space="preserve">Smaller </w:t>
      </w:r>
      <w:r w:rsidR="00933789">
        <w:rPr>
          <w:rFonts w:ascii="Times New Roman" w:hAnsi="Times New Roman" w:cs="Times New Roman"/>
          <w:color w:val="000000" w:themeColor="text1"/>
        </w:rPr>
        <w:t>companies</w:t>
      </w:r>
      <w:r w:rsidRPr="00663AD0">
        <w:rPr>
          <w:rFonts w:ascii="Times New Roman" w:hAnsi="Times New Roman" w:cs="Times New Roman"/>
          <w:color w:val="000000" w:themeColor="text1"/>
        </w:rPr>
        <w:t xml:space="preserve"> are not necessarily expected to take </w:t>
      </w:r>
      <w:r>
        <w:rPr>
          <w:rFonts w:ascii="Times New Roman" w:hAnsi="Times New Roman" w:cs="Times New Roman"/>
          <w:color w:val="000000" w:themeColor="text1"/>
        </w:rPr>
        <w:t xml:space="preserve">the same </w:t>
      </w:r>
      <w:r w:rsidRPr="00663AD0">
        <w:rPr>
          <w:rFonts w:ascii="Times New Roman" w:hAnsi="Times New Roman" w:cs="Times New Roman"/>
          <w:color w:val="000000" w:themeColor="text1"/>
        </w:rPr>
        <w:t>expensive steps to protect secrecy</w:t>
      </w:r>
      <w:r>
        <w:rPr>
          <w:rFonts w:ascii="Times New Roman" w:hAnsi="Times New Roman" w:cs="Times New Roman"/>
          <w:color w:val="000000" w:themeColor="text1"/>
        </w:rPr>
        <w:t xml:space="preserve"> as larger ones</w:t>
      </w:r>
      <w:r w:rsidRPr="00663AD0">
        <w:rPr>
          <w:rFonts w:ascii="Times New Roman" w:hAnsi="Times New Roman" w:cs="Times New Roman"/>
          <w:color w:val="000000" w:themeColor="text1"/>
        </w:rPr>
        <w:t xml:space="preserve">. In </w:t>
      </w:r>
      <w:r w:rsidRPr="00A122A7">
        <w:rPr>
          <w:rFonts w:ascii="Times New Roman" w:hAnsi="Times New Roman" w:cs="Times New Roman"/>
          <w:i/>
          <w:iCs/>
          <w:color w:val="000000" w:themeColor="text1"/>
        </w:rPr>
        <w:t>Elmer v Miller</w:t>
      </w:r>
      <w:r>
        <w:rPr>
          <w:rStyle w:val="FootnoteReference"/>
          <w:rFonts w:ascii="Times New Roman" w:hAnsi="Times New Roman" w:cs="Times New Roman"/>
          <w:color w:val="000000" w:themeColor="text1"/>
        </w:rPr>
        <w:footnoteReference w:id="39"/>
      </w:r>
      <w:r w:rsidRPr="00663AD0">
        <w:rPr>
          <w:rFonts w:ascii="Times New Roman" w:hAnsi="Times New Roman" w:cs="Times New Roman"/>
          <w:color w:val="000000" w:themeColor="text1"/>
        </w:rPr>
        <w:t xml:space="preserve"> it was held that a small tailoring shop that kept its customer list in a closed file draw, notified its employees that the list was confidential and limited access on a need</w:t>
      </w:r>
      <w:r>
        <w:rPr>
          <w:rFonts w:ascii="Times New Roman" w:hAnsi="Times New Roman" w:cs="Times New Roman"/>
          <w:color w:val="000000" w:themeColor="text1"/>
        </w:rPr>
        <w:t>-</w:t>
      </w:r>
      <w:r w:rsidRPr="00663AD0">
        <w:rPr>
          <w:rFonts w:ascii="Times New Roman" w:hAnsi="Times New Roman" w:cs="Times New Roman"/>
          <w:color w:val="000000" w:themeColor="text1"/>
        </w:rPr>
        <w:t>to</w:t>
      </w:r>
      <w:r>
        <w:rPr>
          <w:rFonts w:ascii="Times New Roman" w:hAnsi="Times New Roman" w:cs="Times New Roman"/>
          <w:color w:val="000000" w:themeColor="text1"/>
        </w:rPr>
        <w:t>-</w:t>
      </w:r>
      <w:r w:rsidRPr="00663AD0">
        <w:rPr>
          <w:rFonts w:ascii="Times New Roman" w:hAnsi="Times New Roman" w:cs="Times New Roman"/>
          <w:color w:val="000000" w:themeColor="text1"/>
        </w:rPr>
        <w:t>know basis, satisfied the</w:t>
      </w:r>
      <w:r w:rsidR="00343BD3">
        <w:rPr>
          <w:rFonts w:ascii="Times New Roman" w:hAnsi="Times New Roman" w:cs="Times New Roman"/>
          <w:color w:val="000000" w:themeColor="text1"/>
        </w:rPr>
        <w:t xml:space="preserve"> </w:t>
      </w:r>
      <w:r w:rsidRPr="00663AD0">
        <w:rPr>
          <w:rFonts w:ascii="Times New Roman" w:hAnsi="Times New Roman" w:cs="Times New Roman"/>
          <w:color w:val="000000" w:themeColor="text1"/>
        </w:rPr>
        <w:t xml:space="preserve">reasonable steps requirement. </w:t>
      </w:r>
      <w:r w:rsidR="00933789">
        <w:rPr>
          <w:rFonts w:ascii="Times New Roman" w:hAnsi="Times New Roman" w:cs="Times New Roman"/>
          <w:color w:val="000000" w:themeColor="text1"/>
        </w:rPr>
        <w:t>Nevertheless</w:t>
      </w:r>
      <w:r w:rsidRPr="00663AD0">
        <w:rPr>
          <w:rFonts w:ascii="Times New Roman" w:hAnsi="Times New Roman" w:cs="Times New Roman"/>
          <w:color w:val="000000" w:themeColor="text1"/>
        </w:rPr>
        <w:t xml:space="preserve">, </w:t>
      </w:r>
      <w:r w:rsidR="00343BD3">
        <w:rPr>
          <w:rFonts w:ascii="Times New Roman" w:hAnsi="Times New Roman" w:cs="Times New Roman"/>
          <w:color w:val="000000" w:themeColor="text1"/>
        </w:rPr>
        <w:t xml:space="preserve">whilst the </w:t>
      </w:r>
      <w:r w:rsidR="00343BD3" w:rsidRPr="00663AD0">
        <w:rPr>
          <w:rFonts w:ascii="Times New Roman" w:hAnsi="Times New Roman" w:cs="Times New Roman"/>
          <w:color w:val="000000" w:themeColor="text1"/>
        </w:rPr>
        <w:t>“</w:t>
      </w:r>
      <w:r w:rsidR="00343BD3">
        <w:rPr>
          <w:rFonts w:ascii="Times New Roman" w:hAnsi="Times New Roman" w:cs="Times New Roman"/>
          <w:color w:val="000000" w:themeColor="text1"/>
        </w:rPr>
        <w:t>[</w:t>
      </w:r>
      <w:r w:rsidR="00343BD3" w:rsidRPr="00663AD0">
        <w:rPr>
          <w:rFonts w:ascii="Times New Roman" w:hAnsi="Times New Roman" w:cs="Times New Roman"/>
          <w:color w:val="000000" w:themeColor="text1"/>
        </w:rPr>
        <w:t>D</w:t>
      </w:r>
      <w:r w:rsidR="00343BD3">
        <w:rPr>
          <w:rFonts w:ascii="Times New Roman" w:hAnsi="Times New Roman" w:cs="Times New Roman"/>
          <w:color w:val="000000" w:themeColor="text1"/>
        </w:rPr>
        <w:t>]</w:t>
      </w:r>
      <w:proofErr w:type="spellStart"/>
      <w:r w:rsidR="00343BD3" w:rsidRPr="00663AD0">
        <w:rPr>
          <w:rFonts w:ascii="Times New Roman" w:hAnsi="Times New Roman" w:cs="Times New Roman"/>
          <w:color w:val="000000" w:themeColor="text1"/>
        </w:rPr>
        <w:t>etermination</w:t>
      </w:r>
      <w:proofErr w:type="spellEnd"/>
      <w:r w:rsidR="00343BD3" w:rsidRPr="00663AD0">
        <w:rPr>
          <w:rFonts w:ascii="Times New Roman" w:hAnsi="Times New Roman" w:cs="Times New Roman"/>
          <w:color w:val="000000" w:themeColor="text1"/>
        </w:rPr>
        <w:t xml:space="preserve"> of what steps are reasonabl</w:t>
      </w:r>
      <w:r w:rsidR="00343BD3">
        <w:rPr>
          <w:rFonts w:ascii="Times New Roman" w:hAnsi="Times New Roman" w:cs="Times New Roman"/>
          <w:color w:val="000000" w:themeColor="text1"/>
        </w:rPr>
        <w:t>y</w:t>
      </w:r>
      <w:r w:rsidR="00343BD3" w:rsidRPr="00663AD0">
        <w:rPr>
          <w:rFonts w:ascii="Times New Roman" w:hAnsi="Times New Roman" w:cs="Times New Roman"/>
          <w:color w:val="000000" w:themeColor="text1"/>
        </w:rPr>
        <w:t xml:space="preserve"> necessary to protect information is different for a large company than for a small one</w:t>
      </w:r>
      <w:r w:rsidR="00933789">
        <w:rPr>
          <w:rFonts w:ascii="Times New Roman" w:hAnsi="Times New Roman" w:cs="Times New Roman"/>
          <w:color w:val="000000" w:themeColor="text1"/>
        </w:rPr>
        <w:t>,</w:t>
      </w:r>
      <w:r w:rsidR="00343BD3" w:rsidRPr="00663AD0">
        <w:rPr>
          <w:rFonts w:ascii="Times New Roman" w:hAnsi="Times New Roman" w:cs="Times New Roman"/>
          <w:color w:val="000000" w:themeColor="text1"/>
        </w:rPr>
        <w:t>”</w:t>
      </w:r>
      <w:r w:rsidR="00343BD3">
        <w:rPr>
          <w:rStyle w:val="FootnoteReference"/>
          <w:rFonts w:ascii="Times New Roman" w:hAnsi="Times New Roman" w:cs="Times New Roman"/>
          <w:color w:val="000000" w:themeColor="text1"/>
        </w:rPr>
        <w:footnoteReference w:id="40"/>
      </w:r>
      <w:r w:rsidR="00343BD3">
        <w:rPr>
          <w:rFonts w:ascii="Times New Roman" w:hAnsi="Times New Roman" w:cs="Times New Roman"/>
          <w:color w:val="000000" w:themeColor="text1"/>
        </w:rPr>
        <w:t xml:space="preserve"> </w:t>
      </w:r>
      <w:r w:rsidRPr="00663AD0">
        <w:rPr>
          <w:rFonts w:ascii="Times New Roman" w:hAnsi="Times New Roman" w:cs="Times New Roman"/>
          <w:color w:val="000000" w:themeColor="text1"/>
        </w:rPr>
        <w:t xml:space="preserve">a small business is still </w:t>
      </w:r>
      <w:r w:rsidR="008C3D0B">
        <w:rPr>
          <w:rFonts w:ascii="Times New Roman" w:hAnsi="Times New Roman" w:cs="Times New Roman"/>
          <w:color w:val="000000" w:themeColor="text1"/>
        </w:rPr>
        <w:t xml:space="preserve">under an obligation </w:t>
      </w:r>
      <w:r w:rsidRPr="00663AD0">
        <w:rPr>
          <w:rFonts w:ascii="Times New Roman" w:hAnsi="Times New Roman" w:cs="Times New Roman"/>
          <w:color w:val="000000" w:themeColor="text1"/>
        </w:rPr>
        <w:t xml:space="preserve">to </w:t>
      </w:r>
      <w:r w:rsidR="00933789">
        <w:rPr>
          <w:rFonts w:ascii="Times New Roman" w:hAnsi="Times New Roman" w:cs="Times New Roman"/>
          <w:color w:val="000000" w:themeColor="text1"/>
        </w:rPr>
        <w:t>under</w:t>
      </w:r>
      <w:r w:rsidRPr="00663AD0">
        <w:rPr>
          <w:rFonts w:ascii="Times New Roman" w:hAnsi="Times New Roman" w:cs="Times New Roman"/>
          <w:color w:val="000000" w:themeColor="text1"/>
        </w:rPr>
        <w:t xml:space="preserve">take </w:t>
      </w:r>
      <w:r w:rsidR="00933789">
        <w:rPr>
          <w:rFonts w:ascii="Times New Roman" w:hAnsi="Times New Roman" w:cs="Times New Roman"/>
          <w:color w:val="000000" w:themeColor="text1"/>
        </w:rPr>
        <w:t xml:space="preserve">at least </w:t>
      </w:r>
      <w:r w:rsidRPr="00663AD0">
        <w:rPr>
          <w:rFonts w:ascii="Times New Roman" w:hAnsi="Times New Roman" w:cs="Times New Roman"/>
          <w:color w:val="000000" w:themeColor="text1"/>
        </w:rPr>
        <w:t xml:space="preserve">some affirmative measures to protect its confidential information. </w:t>
      </w:r>
    </w:p>
    <w:p w:rsidR="007C02D3" w:rsidRPr="007C02D3" w:rsidRDefault="00441237" w:rsidP="007C02D3">
      <w:pPr>
        <w:pStyle w:val="ListParagraph"/>
        <w:numPr>
          <w:ilvl w:val="0"/>
          <w:numId w:val="19"/>
        </w:numPr>
        <w:spacing w:line="480" w:lineRule="auto"/>
        <w:rPr>
          <w:rFonts w:ascii="Times New Roman" w:hAnsi="Times New Roman" w:cs="Times New Roman"/>
          <w:color w:val="000000" w:themeColor="text1"/>
        </w:rPr>
      </w:pPr>
      <w:r w:rsidRPr="007C02D3">
        <w:rPr>
          <w:rFonts w:ascii="Times New Roman" w:hAnsi="Times New Roman" w:cs="Times New Roman (Body CS)"/>
          <w:b/>
          <w:bCs/>
          <w:i/>
          <w:iCs/>
        </w:rPr>
        <w:t xml:space="preserve">But </w:t>
      </w:r>
      <w:r w:rsidR="007C02D3" w:rsidRPr="007C02D3">
        <w:rPr>
          <w:rFonts w:ascii="Times New Roman" w:hAnsi="Times New Roman" w:cs="Times New Roman (Body CS)"/>
          <w:b/>
          <w:bCs/>
          <w:i/>
          <w:iCs/>
        </w:rPr>
        <w:t xml:space="preserve">may not be the only determining factor </w:t>
      </w:r>
    </w:p>
    <w:p w:rsidR="00835F22" w:rsidRPr="007C02D3" w:rsidRDefault="008C3D0B" w:rsidP="007C02D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On a cautionary note however, the </w:t>
      </w:r>
      <w:r w:rsidR="000D5272" w:rsidRPr="007C02D3">
        <w:rPr>
          <w:rFonts w:ascii="Times New Roman" w:hAnsi="Times New Roman" w:cs="Times New Roman"/>
          <w:color w:val="000000" w:themeColor="text1"/>
        </w:rPr>
        <w:t xml:space="preserve">size of </w:t>
      </w:r>
      <w:r w:rsidR="00046001" w:rsidRPr="007C02D3">
        <w:rPr>
          <w:rFonts w:ascii="Times New Roman" w:hAnsi="Times New Roman" w:cs="Times New Roman"/>
          <w:color w:val="000000" w:themeColor="text1"/>
        </w:rPr>
        <w:t>a</w:t>
      </w:r>
      <w:r w:rsidR="000D5272" w:rsidRPr="007C02D3">
        <w:rPr>
          <w:rFonts w:ascii="Times New Roman" w:hAnsi="Times New Roman" w:cs="Times New Roman"/>
          <w:color w:val="000000" w:themeColor="text1"/>
        </w:rPr>
        <w:t xml:space="preserve"> </w:t>
      </w:r>
      <w:r w:rsidR="00046001" w:rsidRPr="007C02D3">
        <w:rPr>
          <w:rFonts w:ascii="Times New Roman" w:hAnsi="Times New Roman" w:cs="Times New Roman"/>
          <w:color w:val="000000" w:themeColor="text1"/>
        </w:rPr>
        <w:t>company</w:t>
      </w:r>
      <w:r>
        <w:rPr>
          <w:rFonts w:ascii="Times New Roman" w:hAnsi="Times New Roman" w:cs="Times New Roman"/>
          <w:color w:val="000000" w:themeColor="text1"/>
        </w:rPr>
        <w:t xml:space="preserve"> </w:t>
      </w:r>
      <w:r w:rsidR="00046001" w:rsidRPr="007C02D3">
        <w:rPr>
          <w:rFonts w:ascii="Times New Roman" w:hAnsi="Times New Roman" w:cs="Times New Roman"/>
          <w:color w:val="000000" w:themeColor="text1"/>
        </w:rPr>
        <w:t xml:space="preserve">need </w:t>
      </w:r>
      <w:r>
        <w:rPr>
          <w:rFonts w:ascii="Times New Roman" w:hAnsi="Times New Roman" w:cs="Times New Roman"/>
          <w:color w:val="000000" w:themeColor="text1"/>
        </w:rPr>
        <w:t xml:space="preserve">not </w:t>
      </w:r>
      <w:r w:rsidR="00046001" w:rsidRPr="007C02D3">
        <w:rPr>
          <w:rFonts w:ascii="Times New Roman" w:hAnsi="Times New Roman" w:cs="Times New Roman"/>
          <w:color w:val="000000" w:themeColor="text1"/>
        </w:rPr>
        <w:t xml:space="preserve">be </w:t>
      </w:r>
      <w:r w:rsidR="000D5272" w:rsidRPr="007C02D3">
        <w:rPr>
          <w:rFonts w:ascii="Times New Roman" w:hAnsi="Times New Roman" w:cs="Times New Roman"/>
          <w:color w:val="000000" w:themeColor="text1"/>
        </w:rPr>
        <w:t>the only determining factor</w:t>
      </w:r>
      <w:r w:rsidR="00046001" w:rsidRPr="007C02D3">
        <w:rPr>
          <w:rFonts w:ascii="Times New Roman" w:hAnsi="Times New Roman" w:cs="Times New Roman"/>
          <w:color w:val="000000" w:themeColor="text1"/>
        </w:rPr>
        <w:t xml:space="preserve">. In </w:t>
      </w:r>
      <w:r w:rsidR="000D5272" w:rsidRPr="007C02D3">
        <w:rPr>
          <w:rFonts w:ascii="Times New Roman" w:hAnsi="Times New Roman" w:cs="Times New Roman"/>
          <w:i/>
          <w:iCs/>
          <w:color w:val="000000" w:themeColor="text1"/>
        </w:rPr>
        <w:t>Fail-Safe LLC v A.O. Smith Corp.</w:t>
      </w:r>
      <w:r w:rsidR="000D5272">
        <w:rPr>
          <w:rStyle w:val="FootnoteReference"/>
          <w:rFonts w:ascii="Times New Roman" w:hAnsi="Times New Roman" w:cs="Times New Roman"/>
          <w:color w:val="000000" w:themeColor="text1"/>
        </w:rPr>
        <w:footnoteReference w:id="41"/>
      </w:r>
      <w:r w:rsidR="000D5272" w:rsidRPr="007C02D3">
        <w:rPr>
          <w:rFonts w:ascii="Times New Roman" w:hAnsi="Times New Roman" w:cs="Times New Roman"/>
          <w:color w:val="000000" w:themeColor="text1"/>
        </w:rPr>
        <w:t xml:space="preserve"> the court was applying the Wisconsin Uniform Trade Secrets Act and the Seventh Circuit affirmed the grant of a summary judgment because the plaintiff, a small company, had disclosed trade secrets to the defendant while negotiating a joint development agreement, without taking sufficient steps to protect confidentiality. Although the plaintiff had signed the defendant’s NDA, the defendant had not, neither did it give any other promise of confidentiality to the plaintiff. The court stated that although th</w:t>
      </w:r>
      <w:r w:rsidR="00CC1865">
        <w:rPr>
          <w:rFonts w:ascii="Times New Roman" w:hAnsi="Times New Roman" w:cs="Times New Roman"/>
          <w:color w:val="000000" w:themeColor="text1"/>
        </w:rPr>
        <w:t xml:space="preserve">e plaintiff may have been </w:t>
      </w:r>
      <w:r w:rsidR="000D5272" w:rsidRPr="007C02D3">
        <w:rPr>
          <w:rFonts w:ascii="Times New Roman" w:hAnsi="Times New Roman" w:cs="Times New Roman"/>
          <w:color w:val="000000" w:themeColor="text1"/>
        </w:rPr>
        <w:t xml:space="preserve">a small company, it was “a sophisticated party familiar with </w:t>
      </w:r>
      <w:r w:rsidR="000D5272" w:rsidRPr="007C02D3">
        <w:rPr>
          <w:rFonts w:ascii="Times New Roman" w:hAnsi="Times New Roman" w:cs="Times New Roman"/>
          <w:color w:val="000000" w:themeColor="text1"/>
        </w:rPr>
        <w:lastRenderedPageBreak/>
        <w:t>confidentiality agreements” and therefore had acted unreasonably in failing “to take any steps to maintain secrecy.”</w:t>
      </w:r>
    </w:p>
    <w:p w:rsidR="00B2585A" w:rsidRDefault="00B2585A" w:rsidP="00EF7408">
      <w:pPr>
        <w:spacing w:line="480" w:lineRule="auto"/>
        <w:rPr>
          <w:rFonts w:ascii="Times New Roman" w:hAnsi="Times New Roman" w:cs="Times New Roman"/>
          <w:color w:val="000000" w:themeColor="text1"/>
        </w:rPr>
      </w:pPr>
    </w:p>
    <w:p w:rsidR="007C02D3" w:rsidRDefault="00B2585A" w:rsidP="007F0317">
      <w:pPr>
        <w:spacing w:line="480" w:lineRule="auto"/>
        <w:rPr>
          <w:rFonts w:ascii="Times New Roman" w:hAnsi="Times New Roman" w:cs="Times New Roman (Body CS)"/>
          <w:b/>
          <w:bCs/>
        </w:rPr>
      </w:pPr>
      <w:r>
        <w:rPr>
          <w:rFonts w:ascii="Times New Roman" w:hAnsi="Times New Roman" w:cs="Times New Roman (Body CS)"/>
          <w:b/>
          <w:bCs/>
        </w:rPr>
        <w:t xml:space="preserve">Conclusion </w:t>
      </w:r>
    </w:p>
    <w:p w:rsidR="007F0317" w:rsidRPr="007C02D3" w:rsidRDefault="00C37654" w:rsidP="007F0317">
      <w:pPr>
        <w:spacing w:line="480" w:lineRule="auto"/>
        <w:rPr>
          <w:rFonts w:ascii="Times New Roman" w:hAnsi="Times New Roman" w:cs="Times New Roman (Body CS)"/>
          <w:b/>
          <w:bCs/>
        </w:rPr>
      </w:pPr>
      <w:r>
        <w:rPr>
          <w:rFonts w:ascii="Times New Roman" w:hAnsi="Times New Roman" w:cs="Times New Roman (Body CS)"/>
        </w:rPr>
        <w:t>The driver behind the EU Commission proposing the EU Directive was to p</w:t>
      </w:r>
      <w:r w:rsidR="00416FE0">
        <w:rPr>
          <w:rFonts w:ascii="Times New Roman" w:hAnsi="Times New Roman" w:cs="Times New Roman (Body CS)"/>
        </w:rPr>
        <w:t>osition</w:t>
      </w:r>
      <w:r>
        <w:rPr>
          <w:rFonts w:ascii="Times New Roman" w:hAnsi="Times New Roman" w:cs="Times New Roman (Body CS)"/>
        </w:rPr>
        <w:t xml:space="preserve"> European </w:t>
      </w:r>
      <w:r w:rsidR="000D5272">
        <w:rPr>
          <w:rFonts w:ascii="Times New Roman" w:hAnsi="Times New Roman" w:cs="Times New Roman (Body CS)"/>
        </w:rPr>
        <w:t>Companies</w:t>
      </w:r>
      <w:r>
        <w:rPr>
          <w:rFonts w:ascii="Times New Roman" w:hAnsi="Times New Roman" w:cs="Times New Roman (Body CS)"/>
        </w:rPr>
        <w:t xml:space="preserve"> on a level playing field with </w:t>
      </w:r>
      <w:r w:rsidR="000D5272">
        <w:rPr>
          <w:rFonts w:ascii="Times New Roman" w:hAnsi="Times New Roman" w:cs="Times New Roman (Body CS)"/>
        </w:rPr>
        <w:t>their</w:t>
      </w:r>
      <w:r>
        <w:rPr>
          <w:rFonts w:ascii="Times New Roman" w:hAnsi="Times New Roman" w:cs="Times New Roman (Body CS)"/>
        </w:rPr>
        <w:t xml:space="preserve"> counterparts in the USA and Japan.</w:t>
      </w:r>
      <w:r>
        <w:rPr>
          <w:rStyle w:val="FootnoteReference"/>
          <w:rFonts w:ascii="Times New Roman" w:hAnsi="Times New Roman" w:cs="Times New Roman (Body CS)"/>
        </w:rPr>
        <w:footnoteReference w:id="42"/>
      </w:r>
      <w:r>
        <w:rPr>
          <w:rFonts w:ascii="Times New Roman" w:hAnsi="Times New Roman" w:cs="Times New Roman (Body CS)"/>
        </w:rPr>
        <w:t xml:space="preserve"> However, u</w:t>
      </w:r>
      <w:r w:rsidR="004E4117" w:rsidRPr="004E4117">
        <w:rPr>
          <w:rFonts w:ascii="Times New Roman" w:hAnsi="Times New Roman" w:cs="Times New Roman (Body CS)"/>
        </w:rPr>
        <w:t xml:space="preserve">nlike the </w:t>
      </w:r>
      <w:r w:rsidR="004E4117">
        <w:rPr>
          <w:rFonts w:ascii="Times New Roman" w:hAnsi="Times New Roman" w:cs="Times New Roman (Body CS)"/>
        </w:rPr>
        <w:t>U.S. Defend Trade Secrets Act</w:t>
      </w:r>
      <w:r w:rsidR="001B386B">
        <w:rPr>
          <w:rStyle w:val="FootnoteReference"/>
          <w:rFonts w:ascii="Times New Roman" w:hAnsi="Times New Roman" w:cs="Times New Roman (Body CS)"/>
        </w:rPr>
        <w:footnoteReference w:id="43"/>
      </w:r>
      <w:r w:rsidR="004E4117">
        <w:rPr>
          <w:rFonts w:ascii="Times New Roman" w:hAnsi="Times New Roman" w:cs="Times New Roman (Body CS)"/>
        </w:rPr>
        <w:t xml:space="preserve"> the </w:t>
      </w:r>
      <w:r w:rsidR="001B386B">
        <w:rPr>
          <w:rFonts w:ascii="Times New Roman" w:hAnsi="Times New Roman" w:cs="Times New Roman (Body CS)"/>
        </w:rPr>
        <w:t xml:space="preserve">new </w:t>
      </w:r>
      <w:r w:rsidR="004E4117">
        <w:rPr>
          <w:rFonts w:ascii="Times New Roman" w:hAnsi="Times New Roman" w:cs="Times New Roman (Body CS)"/>
        </w:rPr>
        <w:t>Regulations</w:t>
      </w:r>
      <w:r w:rsidR="001B386B">
        <w:rPr>
          <w:rFonts w:ascii="Times New Roman" w:hAnsi="Times New Roman" w:cs="Times New Roman (Body CS)"/>
        </w:rPr>
        <w:t xml:space="preserve"> offer no criminal sanction against the misappropriation of </w:t>
      </w:r>
      <w:r w:rsidR="0056171D">
        <w:rPr>
          <w:rFonts w:ascii="Times New Roman" w:hAnsi="Times New Roman" w:cs="Times New Roman (Body CS)"/>
        </w:rPr>
        <w:t>t</w:t>
      </w:r>
      <w:r w:rsidR="001B386B">
        <w:rPr>
          <w:rFonts w:ascii="Times New Roman" w:hAnsi="Times New Roman" w:cs="Times New Roman (Body CS)"/>
        </w:rPr>
        <w:t xml:space="preserve">rade </w:t>
      </w:r>
      <w:r w:rsidR="0056171D">
        <w:rPr>
          <w:rFonts w:ascii="Times New Roman" w:hAnsi="Times New Roman" w:cs="Times New Roman (Body CS)"/>
        </w:rPr>
        <w:t>s</w:t>
      </w:r>
      <w:r w:rsidR="001B386B">
        <w:rPr>
          <w:rFonts w:ascii="Times New Roman" w:hAnsi="Times New Roman" w:cs="Times New Roman (Body CS)"/>
        </w:rPr>
        <w:t xml:space="preserve">ecrets data. </w:t>
      </w:r>
      <w:r w:rsidR="007C27FC">
        <w:rPr>
          <w:rFonts w:ascii="Times New Roman" w:hAnsi="Times New Roman" w:cs="Times New Roman (Body CS)"/>
        </w:rPr>
        <w:t xml:space="preserve">Indeed, </w:t>
      </w:r>
      <w:r w:rsidR="001B386B">
        <w:rPr>
          <w:rFonts w:ascii="Times New Roman" w:hAnsi="Times New Roman" w:cs="Times New Roman (Body CS)"/>
        </w:rPr>
        <w:t xml:space="preserve">UK </w:t>
      </w:r>
      <w:r w:rsidR="006D0EA1">
        <w:rPr>
          <w:rFonts w:ascii="Times New Roman" w:hAnsi="Times New Roman" w:cs="Times New Roman (Body CS)"/>
        </w:rPr>
        <w:t>c</w:t>
      </w:r>
      <w:r w:rsidR="001B386B">
        <w:rPr>
          <w:rFonts w:ascii="Times New Roman" w:hAnsi="Times New Roman" w:cs="Times New Roman (Body CS)"/>
        </w:rPr>
        <w:t xml:space="preserve">riminal </w:t>
      </w:r>
      <w:r w:rsidR="006D0EA1">
        <w:rPr>
          <w:rFonts w:ascii="Times New Roman" w:hAnsi="Times New Roman" w:cs="Times New Roman (Body CS)"/>
        </w:rPr>
        <w:t>l</w:t>
      </w:r>
      <w:r w:rsidR="001B386B">
        <w:rPr>
          <w:rFonts w:ascii="Times New Roman" w:hAnsi="Times New Roman" w:cs="Times New Roman (Body CS)"/>
        </w:rPr>
        <w:t xml:space="preserve">aw </w:t>
      </w:r>
      <w:r w:rsidR="007C27FC">
        <w:rPr>
          <w:rFonts w:ascii="Times New Roman" w:hAnsi="Times New Roman" w:cs="Times New Roman (Body CS)"/>
        </w:rPr>
        <w:t>has traditionally viewed the unauthorised taking of information as a purely civil matter and is unlikely</w:t>
      </w:r>
      <w:r w:rsidR="007F0317">
        <w:rPr>
          <w:rStyle w:val="FootnoteReference"/>
          <w:rFonts w:ascii="Times New Roman" w:hAnsi="Times New Roman" w:cs="Times New Roman (Body CS)"/>
        </w:rPr>
        <w:footnoteReference w:id="44"/>
      </w:r>
      <w:r w:rsidR="007C27FC">
        <w:rPr>
          <w:rFonts w:ascii="Times New Roman" w:hAnsi="Times New Roman" w:cs="Times New Roman (Body CS)"/>
        </w:rPr>
        <w:t xml:space="preserve"> to </w:t>
      </w:r>
      <w:r w:rsidR="007F0317">
        <w:rPr>
          <w:rFonts w:ascii="Times New Roman" w:hAnsi="Times New Roman" w:cs="Times New Roman (Body CS)"/>
        </w:rPr>
        <w:t xml:space="preserve">even </w:t>
      </w:r>
      <w:r w:rsidR="003D21A4">
        <w:rPr>
          <w:rFonts w:ascii="Times New Roman" w:hAnsi="Times New Roman" w:cs="Times New Roman (Body CS)"/>
        </w:rPr>
        <w:t>consider</w:t>
      </w:r>
      <w:r w:rsidR="007C27FC">
        <w:rPr>
          <w:rFonts w:ascii="Times New Roman" w:hAnsi="Times New Roman" w:cs="Times New Roman (Body CS)"/>
        </w:rPr>
        <w:t xml:space="preserve"> data as </w:t>
      </w:r>
      <w:r w:rsidR="00602064">
        <w:rPr>
          <w:rFonts w:ascii="Times New Roman" w:hAnsi="Times New Roman" w:cs="Times New Roman (Body CS)"/>
        </w:rPr>
        <w:t>“</w:t>
      </w:r>
      <w:r w:rsidR="007F0317">
        <w:rPr>
          <w:rFonts w:ascii="Times New Roman" w:hAnsi="Times New Roman" w:cs="Times New Roman (Body CS)"/>
        </w:rPr>
        <w:t>property</w:t>
      </w:r>
      <w:r w:rsidR="00602064">
        <w:rPr>
          <w:rFonts w:ascii="Times New Roman" w:hAnsi="Times New Roman" w:cs="Times New Roman (Body CS)"/>
        </w:rPr>
        <w:t>”</w:t>
      </w:r>
      <w:r w:rsidR="005237F6">
        <w:rPr>
          <w:rStyle w:val="FootnoteReference"/>
          <w:rFonts w:ascii="Times New Roman" w:hAnsi="Times New Roman" w:cs="Times New Roman (Body CS)"/>
        </w:rPr>
        <w:footnoteReference w:id="45"/>
      </w:r>
      <w:r w:rsidR="007C27FC">
        <w:rPr>
          <w:rFonts w:ascii="Times New Roman" w:hAnsi="Times New Roman" w:cs="Times New Roman (Body CS)"/>
        </w:rPr>
        <w:t xml:space="preserve"> within the </w:t>
      </w:r>
      <w:r w:rsidR="007F0317">
        <w:rPr>
          <w:rFonts w:ascii="Times New Roman" w:hAnsi="Times New Roman" w:cs="Times New Roman (Body CS)"/>
        </w:rPr>
        <w:t>meaning of the Theft Act.</w:t>
      </w:r>
      <w:r w:rsidR="007F0317">
        <w:rPr>
          <w:rStyle w:val="FootnoteReference"/>
          <w:rFonts w:ascii="Times New Roman" w:hAnsi="Times New Roman" w:cs="Times New Roman (Body CS)"/>
        </w:rPr>
        <w:footnoteReference w:id="46"/>
      </w:r>
      <w:r w:rsidR="007F0317">
        <w:rPr>
          <w:rFonts w:ascii="Times New Roman" w:hAnsi="Times New Roman" w:cs="Times New Roman (Body CS)"/>
        </w:rPr>
        <w:t xml:space="preserve"> So the criticism of Lord Boyle</w:t>
      </w:r>
      <w:r>
        <w:rPr>
          <w:rFonts w:ascii="Times New Roman" w:hAnsi="Times New Roman" w:cs="Times New Roman (Body CS)"/>
        </w:rPr>
        <w:t xml:space="preserve"> </w:t>
      </w:r>
      <w:r w:rsidR="007F0317">
        <w:rPr>
          <w:rFonts w:ascii="Times New Roman" w:hAnsi="Times New Roman" w:cs="Times New Roman (Body CS)"/>
        </w:rPr>
        <w:t>that</w:t>
      </w:r>
      <w:r>
        <w:rPr>
          <w:rFonts w:ascii="Times New Roman" w:hAnsi="Times New Roman" w:cs="Times New Roman (Body CS)"/>
        </w:rPr>
        <w:t>,</w:t>
      </w:r>
      <w:r w:rsidR="00602064">
        <w:rPr>
          <w:rFonts w:ascii="Times New Roman" w:hAnsi="Times New Roman" w:cs="Times New Roman (Body CS)"/>
        </w:rPr>
        <w:t xml:space="preserve"> </w:t>
      </w:r>
      <w:r w:rsidR="007F0317" w:rsidRPr="007F0317">
        <w:rPr>
          <w:rFonts w:ascii="Times" w:eastAsia="Times New Roman" w:hAnsi="Times" w:cs="Times New Roman"/>
          <w:color w:val="000000"/>
          <w:sz w:val="27"/>
          <w:szCs w:val="27"/>
          <w:lang w:eastAsia="en-GB"/>
        </w:rPr>
        <w:t>“</w:t>
      </w:r>
      <w:r w:rsidR="007F0317" w:rsidRPr="007F0317">
        <w:rPr>
          <w:rFonts w:ascii="Times New Roman" w:eastAsia="Times New Roman" w:hAnsi="Times New Roman" w:cs="Times New Roman"/>
          <w:color w:val="000000"/>
          <w:lang w:eastAsia="en-GB"/>
        </w:rPr>
        <w:t>it is not too much to say that we live in a country where…the theft of the board room table is punished far more severely than the theft of the board room secrets</w:t>
      </w:r>
      <w:r w:rsidR="006D0EA1">
        <w:rPr>
          <w:rFonts w:ascii="Times New Roman" w:eastAsia="Times New Roman" w:hAnsi="Times New Roman" w:cs="Times New Roman"/>
          <w:color w:val="000000"/>
          <w:lang w:eastAsia="en-GB"/>
        </w:rPr>
        <w:t>,</w:t>
      </w:r>
      <w:r w:rsidR="00602064">
        <w:rPr>
          <w:rFonts w:ascii="Times New Roman" w:eastAsia="Times New Roman" w:hAnsi="Times New Roman" w:cs="Times New Roman"/>
          <w:color w:val="000000"/>
          <w:lang w:eastAsia="en-GB"/>
        </w:rPr>
        <w:t>”</w:t>
      </w:r>
      <w:r w:rsidR="00602064">
        <w:rPr>
          <w:rStyle w:val="FootnoteReference"/>
          <w:rFonts w:ascii="Times New Roman" w:eastAsia="Times New Roman" w:hAnsi="Times New Roman" w:cs="Times New Roman"/>
          <w:color w:val="000000"/>
          <w:lang w:eastAsia="en-GB"/>
        </w:rPr>
        <w:footnoteReference w:id="47"/>
      </w:r>
      <w:r w:rsidR="00602064">
        <w:rPr>
          <w:rFonts w:ascii="Times New Roman" w:eastAsia="Times New Roman" w:hAnsi="Times New Roman" w:cs="Times New Roman"/>
          <w:color w:val="000000"/>
          <w:lang w:eastAsia="en-GB"/>
        </w:rPr>
        <w:t xml:space="preserve"> holds </w:t>
      </w:r>
      <w:r>
        <w:rPr>
          <w:rFonts w:ascii="Times New Roman" w:eastAsia="Times New Roman" w:hAnsi="Times New Roman" w:cs="Times New Roman"/>
          <w:color w:val="000000"/>
          <w:lang w:eastAsia="en-GB"/>
        </w:rPr>
        <w:t xml:space="preserve">as </w:t>
      </w:r>
      <w:r w:rsidR="00602064">
        <w:rPr>
          <w:rFonts w:ascii="Times New Roman" w:eastAsia="Times New Roman" w:hAnsi="Times New Roman" w:cs="Times New Roman"/>
          <w:color w:val="000000"/>
          <w:lang w:eastAsia="en-GB"/>
        </w:rPr>
        <w:t>true</w:t>
      </w:r>
      <w:r>
        <w:rPr>
          <w:rFonts w:ascii="Times New Roman" w:eastAsia="Times New Roman" w:hAnsi="Times New Roman" w:cs="Times New Roman"/>
          <w:color w:val="000000"/>
          <w:lang w:eastAsia="en-GB"/>
        </w:rPr>
        <w:t xml:space="preserve"> today as </w:t>
      </w:r>
      <w:r w:rsidR="00416FE0">
        <w:rPr>
          <w:rFonts w:ascii="Times New Roman" w:eastAsia="Times New Roman" w:hAnsi="Times New Roman" w:cs="Times New Roman"/>
          <w:color w:val="000000"/>
          <w:lang w:eastAsia="en-GB"/>
        </w:rPr>
        <w:t xml:space="preserve">it </w:t>
      </w:r>
      <w:r>
        <w:rPr>
          <w:rFonts w:ascii="Times New Roman" w:eastAsia="Times New Roman" w:hAnsi="Times New Roman" w:cs="Times New Roman"/>
          <w:color w:val="000000"/>
          <w:lang w:eastAsia="en-GB"/>
        </w:rPr>
        <w:t>did more than fifty years ago</w:t>
      </w:r>
      <w:r w:rsidR="00602064">
        <w:rPr>
          <w:rFonts w:ascii="Times New Roman" w:eastAsia="Times New Roman" w:hAnsi="Times New Roman" w:cs="Times New Roman"/>
          <w:color w:val="000000"/>
          <w:lang w:eastAsia="en-GB"/>
        </w:rPr>
        <w:t>.</w:t>
      </w:r>
    </w:p>
    <w:p w:rsidR="00F9266D" w:rsidRDefault="003D21A4" w:rsidP="00F9266D">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Section 3 of the new Regulations makes clear that the “wider protection” afforded under the common law for a breach of confidence in confidential information </w:t>
      </w:r>
      <w:r w:rsidR="00644950">
        <w:rPr>
          <w:rFonts w:ascii="Times New Roman" w:eastAsia="Times New Roman" w:hAnsi="Times New Roman" w:cs="Times New Roman"/>
          <w:color w:val="000000"/>
          <w:lang w:eastAsia="en-GB"/>
        </w:rPr>
        <w:t xml:space="preserve">still </w:t>
      </w:r>
      <w:r>
        <w:rPr>
          <w:rFonts w:ascii="Times New Roman" w:eastAsia="Times New Roman" w:hAnsi="Times New Roman" w:cs="Times New Roman"/>
          <w:color w:val="000000"/>
          <w:lang w:eastAsia="en-GB"/>
        </w:rPr>
        <w:t xml:space="preserve">remains in place, with the UK government being of the </w:t>
      </w:r>
      <w:r w:rsidR="00CA16F0">
        <w:rPr>
          <w:rFonts w:ascii="Times New Roman" w:eastAsia="Times New Roman" w:hAnsi="Times New Roman" w:cs="Times New Roman"/>
          <w:color w:val="000000"/>
          <w:lang w:eastAsia="en-GB"/>
        </w:rPr>
        <w:t xml:space="preserve">somewhat limited </w:t>
      </w:r>
      <w:r>
        <w:rPr>
          <w:rFonts w:ascii="Times New Roman" w:eastAsia="Times New Roman" w:hAnsi="Times New Roman" w:cs="Times New Roman"/>
          <w:color w:val="000000"/>
          <w:lang w:eastAsia="en-GB"/>
        </w:rPr>
        <w:t xml:space="preserve">view that the EU Directive was in any event </w:t>
      </w:r>
      <w:r w:rsidR="005237F6">
        <w:rPr>
          <w:rFonts w:ascii="Times New Roman" w:eastAsia="Times New Roman" w:hAnsi="Times New Roman" w:cs="Times New Roman"/>
          <w:color w:val="000000"/>
          <w:lang w:eastAsia="en-GB"/>
        </w:rPr>
        <w:t xml:space="preserve">only a reflection </w:t>
      </w:r>
      <w:r w:rsidR="00CA16F0">
        <w:rPr>
          <w:rFonts w:ascii="Times New Roman" w:eastAsia="Times New Roman" w:hAnsi="Times New Roman" w:cs="Times New Roman"/>
          <w:color w:val="000000"/>
          <w:lang w:eastAsia="en-GB"/>
        </w:rPr>
        <w:t>of the</w:t>
      </w:r>
      <w:r w:rsidR="00CC1865">
        <w:rPr>
          <w:rFonts w:ascii="Times New Roman" w:eastAsia="Times New Roman" w:hAnsi="Times New Roman" w:cs="Times New Roman"/>
          <w:color w:val="000000"/>
          <w:lang w:eastAsia="en-GB"/>
        </w:rPr>
        <w:t xml:space="preserve"> </w:t>
      </w:r>
      <w:r w:rsidR="00CA16F0">
        <w:rPr>
          <w:rFonts w:ascii="Times New Roman" w:eastAsia="Times New Roman" w:hAnsi="Times New Roman" w:cs="Times New Roman"/>
          <w:color w:val="000000"/>
          <w:lang w:eastAsia="en-GB"/>
        </w:rPr>
        <w:t>existing common law rules</w:t>
      </w:r>
      <w:r w:rsidR="00644950">
        <w:rPr>
          <w:rFonts w:ascii="Times New Roman" w:eastAsia="Times New Roman" w:hAnsi="Times New Roman" w:cs="Times New Roman"/>
          <w:color w:val="000000"/>
          <w:lang w:eastAsia="en-GB"/>
        </w:rPr>
        <w:t xml:space="preserve">, which </w:t>
      </w:r>
      <w:r w:rsidR="00416FE0">
        <w:rPr>
          <w:rFonts w:ascii="Times New Roman" w:eastAsia="Times New Roman" w:hAnsi="Times New Roman" w:cs="Times New Roman"/>
          <w:color w:val="000000"/>
          <w:lang w:eastAsia="en-GB"/>
        </w:rPr>
        <w:t xml:space="preserve">already </w:t>
      </w:r>
      <w:r w:rsidR="005E26D1">
        <w:rPr>
          <w:rFonts w:ascii="Times New Roman" w:eastAsia="Times New Roman" w:hAnsi="Times New Roman" w:cs="Times New Roman"/>
          <w:color w:val="000000"/>
          <w:lang w:eastAsia="en-GB"/>
        </w:rPr>
        <w:t>provide</w:t>
      </w:r>
      <w:bookmarkStart w:id="0" w:name="_GoBack"/>
      <w:bookmarkEnd w:id="0"/>
      <w:r w:rsidR="005E26D1">
        <w:rPr>
          <w:rFonts w:ascii="Times New Roman" w:eastAsia="Times New Roman" w:hAnsi="Times New Roman" w:cs="Times New Roman"/>
          <w:color w:val="000000"/>
          <w:lang w:eastAsia="en-GB"/>
        </w:rPr>
        <w:t xml:space="preserve"> for </w:t>
      </w:r>
      <w:r w:rsidR="00644950">
        <w:rPr>
          <w:rFonts w:ascii="Times New Roman" w:eastAsia="Times New Roman" w:hAnsi="Times New Roman" w:cs="Times New Roman"/>
          <w:color w:val="000000"/>
          <w:lang w:eastAsia="en-GB"/>
        </w:rPr>
        <w:t xml:space="preserve">the </w:t>
      </w:r>
      <w:r w:rsidR="00644950">
        <w:rPr>
          <w:rFonts w:ascii="Times New Roman" w:eastAsia="Times New Roman" w:hAnsi="Times New Roman" w:cs="Times New Roman"/>
          <w:color w:val="000000"/>
          <w:lang w:eastAsia="en-GB"/>
        </w:rPr>
        <w:lastRenderedPageBreak/>
        <w:t>remedies of damages or injunctive relief</w:t>
      </w:r>
      <w:r w:rsidR="00CA16F0">
        <w:rPr>
          <w:rFonts w:ascii="Times New Roman" w:eastAsia="Times New Roman" w:hAnsi="Times New Roman" w:cs="Times New Roman"/>
          <w:color w:val="000000"/>
          <w:lang w:eastAsia="en-GB"/>
        </w:rPr>
        <w:t>.</w:t>
      </w:r>
      <w:r w:rsidR="00CA16F0">
        <w:rPr>
          <w:rStyle w:val="FootnoteReference"/>
          <w:rFonts w:ascii="Times New Roman" w:eastAsia="Times New Roman" w:hAnsi="Times New Roman" w:cs="Times New Roman"/>
          <w:color w:val="000000"/>
          <w:lang w:eastAsia="en-GB"/>
        </w:rPr>
        <w:footnoteReference w:id="48"/>
      </w:r>
      <w:r w:rsidR="00CA16F0">
        <w:rPr>
          <w:rFonts w:ascii="Times New Roman" w:eastAsia="Times New Roman" w:hAnsi="Times New Roman" w:cs="Times New Roman"/>
          <w:color w:val="000000"/>
          <w:lang w:eastAsia="en-GB"/>
        </w:rPr>
        <w:t xml:space="preserve"> Post-employment restraints legitimately imposed on former employees, </w:t>
      </w:r>
      <w:r w:rsidR="006D0EA1">
        <w:rPr>
          <w:rFonts w:ascii="Times New Roman" w:eastAsia="Times New Roman" w:hAnsi="Times New Roman" w:cs="Times New Roman"/>
          <w:color w:val="000000"/>
          <w:lang w:eastAsia="en-GB"/>
        </w:rPr>
        <w:t xml:space="preserve">and </w:t>
      </w:r>
      <w:r w:rsidR="00CA16F0">
        <w:rPr>
          <w:rFonts w:ascii="Times New Roman" w:eastAsia="Times New Roman" w:hAnsi="Times New Roman" w:cs="Times New Roman"/>
          <w:color w:val="000000"/>
          <w:lang w:eastAsia="en-GB"/>
        </w:rPr>
        <w:t xml:space="preserve">technical and business secrets </w:t>
      </w:r>
      <w:r w:rsidR="00644950">
        <w:rPr>
          <w:rFonts w:ascii="Times New Roman" w:eastAsia="Times New Roman" w:hAnsi="Times New Roman" w:cs="Times New Roman"/>
          <w:color w:val="000000"/>
          <w:lang w:eastAsia="en-GB"/>
        </w:rPr>
        <w:t xml:space="preserve">may </w:t>
      </w:r>
      <w:r w:rsidR="00CA16F0">
        <w:rPr>
          <w:rFonts w:ascii="Times New Roman" w:eastAsia="Times New Roman" w:hAnsi="Times New Roman" w:cs="Times New Roman"/>
          <w:color w:val="000000"/>
          <w:lang w:eastAsia="en-GB"/>
        </w:rPr>
        <w:t xml:space="preserve">have already enjoyed protection </w:t>
      </w:r>
      <w:r w:rsidR="005237F6">
        <w:rPr>
          <w:rFonts w:ascii="Times New Roman" w:eastAsia="Times New Roman" w:hAnsi="Times New Roman" w:cs="Times New Roman"/>
          <w:color w:val="000000"/>
          <w:lang w:eastAsia="en-GB"/>
        </w:rPr>
        <w:t>under our</w:t>
      </w:r>
      <w:r w:rsidR="00CA16F0">
        <w:rPr>
          <w:rFonts w:ascii="Times New Roman" w:eastAsia="Times New Roman" w:hAnsi="Times New Roman" w:cs="Times New Roman"/>
          <w:color w:val="000000"/>
          <w:lang w:eastAsia="en-GB"/>
        </w:rPr>
        <w:t xml:space="preserve"> common law, </w:t>
      </w:r>
      <w:r w:rsidR="00644950">
        <w:rPr>
          <w:rFonts w:ascii="Times New Roman" w:eastAsia="Times New Roman" w:hAnsi="Times New Roman" w:cs="Times New Roman"/>
          <w:color w:val="000000"/>
          <w:lang w:eastAsia="en-GB"/>
        </w:rPr>
        <w:t xml:space="preserve">but only </w:t>
      </w:r>
      <w:r w:rsidR="005237F6">
        <w:rPr>
          <w:rFonts w:ascii="Times New Roman" w:eastAsia="Times New Roman" w:hAnsi="Times New Roman" w:cs="Times New Roman"/>
          <w:color w:val="000000"/>
          <w:lang w:eastAsia="en-GB"/>
        </w:rPr>
        <w:t xml:space="preserve">to the extent </w:t>
      </w:r>
      <w:r w:rsidR="00EF364B">
        <w:rPr>
          <w:rFonts w:ascii="Times New Roman" w:eastAsia="Times New Roman" w:hAnsi="Times New Roman" w:cs="Times New Roman"/>
          <w:color w:val="000000"/>
          <w:lang w:eastAsia="en-GB"/>
        </w:rPr>
        <w:t xml:space="preserve">that judicial discretion determined </w:t>
      </w:r>
      <w:r w:rsidR="005237F6">
        <w:rPr>
          <w:rFonts w:ascii="Times New Roman" w:eastAsia="Times New Roman" w:hAnsi="Times New Roman" w:cs="Times New Roman"/>
          <w:color w:val="000000"/>
          <w:lang w:eastAsia="en-GB"/>
        </w:rPr>
        <w:t>there had</w:t>
      </w:r>
      <w:r w:rsidR="00CA16F0" w:rsidRPr="00CA16F0">
        <w:rPr>
          <w:rFonts w:ascii="Times New Roman" w:eastAsia="Times New Roman" w:hAnsi="Times New Roman" w:cs="Times New Roman"/>
          <w:color w:val="000000"/>
          <w:lang w:eastAsia="en-GB"/>
        </w:rPr>
        <w:t xml:space="preserve"> </w:t>
      </w:r>
      <w:r w:rsidR="00416FE0">
        <w:rPr>
          <w:rFonts w:ascii="Times New Roman" w:eastAsia="Times New Roman" w:hAnsi="Times New Roman" w:cs="Times New Roman"/>
          <w:color w:val="000000"/>
          <w:lang w:eastAsia="en-GB"/>
        </w:rPr>
        <w:t>been</w:t>
      </w:r>
      <w:r w:rsidR="00EF364B">
        <w:rPr>
          <w:rFonts w:ascii="Times New Roman" w:eastAsia="Times New Roman" w:hAnsi="Times New Roman" w:cs="Times New Roman"/>
          <w:color w:val="000000"/>
          <w:lang w:eastAsia="en-GB"/>
        </w:rPr>
        <w:t>,</w:t>
      </w:r>
      <w:r w:rsidR="00416FE0">
        <w:rPr>
          <w:rFonts w:ascii="Times New Roman" w:eastAsia="Times New Roman" w:hAnsi="Times New Roman" w:cs="Times New Roman"/>
          <w:color w:val="000000"/>
          <w:lang w:eastAsia="en-GB"/>
        </w:rPr>
        <w:t xml:space="preserve"> </w:t>
      </w:r>
      <w:r w:rsidR="00CA16F0" w:rsidRPr="00CA16F0">
        <w:rPr>
          <w:rFonts w:ascii="Times New Roman" w:eastAsia="Times New Roman" w:hAnsi="Times New Roman" w:cs="Times New Roman"/>
          <w:color w:val="000000"/>
          <w:lang w:eastAsia="en-GB"/>
        </w:rPr>
        <w:t>the necessary quality of confidence</w:t>
      </w:r>
      <w:r w:rsidR="00EF364B">
        <w:rPr>
          <w:rFonts w:ascii="Times New Roman" w:eastAsia="Times New Roman" w:hAnsi="Times New Roman" w:cs="Times New Roman"/>
          <w:color w:val="000000"/>
          <w:lang w:eastAsia="en-GB"/>
        </w:rPr>
        <w:t>;</w:t>
      </w:r>
      <w:r w:rsidR="00CA16F0" w:rsidRPr="00CA16F0">
        <w:rPr>
          <w:rFonts w:ascii="Times New Roman" w:eastAsia="Times New Roman" w:hAnsi="Times New Roman" w:cs="Times New Roman"/>
          <w:color w:val="000000"/>
          <w:lang w:eastAsia="en-GB"/>
        </w:rPr>
        <w:t xml:space="preserve"> </w:t>
      </w:r>
      <w:r w:rsidR="00EF364B">
        <w:rPr>
          <w:rFonts w:ascii="Times New Roman" w:eastAsia="Times New Roman" w:hAnsi="Times New Roman" w:cs="Times New Roman"/>
          <w:color w:val="000000"/>
          <w:lang w:eastAsia="en-GB"/>
        </w:rPr>
        <w:t>disclosure</w:t>
      </w:r>
      <w:r w:rsidR="00CA16F0" w:rsidRPr="00CA16F0">
        <w:rPr>
          <w:rFonts w:ascii="Times New Roman" w:eastAsia="Times New Roman" w:hAnsi="Times New Roman" w:cs="Times New Roman"/>
          <w:color w:val="000000"/>
          <w:lang w:eastAsia="en-GB"/>
        </w:rPr>
        <w:t xml:space="preserve"> </w:t>
      </w:r>
      <w:r w:rsidR="00644950">
        <w:rPr>
          <w:rFonts w:ascii="Times New Roman" w:eastAsia="Times New Roman" w:hAnsi="Times New Roman" w:cs="Times New Roman"/>
          <w:color w:val="000000"/>
          <w:lang w:eastAsia="en-GB"/>
        </w:rPr>
        <w:t xml:space="preserve">to the recipient </w:t>
      </w:r>
      <w:r w:rsidR="00CA16F0" w:rsidRPr="00CA16F0">
        <w:rPr>
          <w:rFonts w:ascii="Times New Roman" w:eastAsia="Times New Roman" w:hAnsi="Times New Roman" w:cs="Times New Roman"/>
          <w:color w:val="000000"/>
          <w:lang w:eastAsia="en-GB"/>
        </w:rPr>
        <w:t>under an express or implied obligation of confidence</w:t>
      </w:r>
      <w:r w:rsidR="00EF364B">
        <w:rPr>
          <w:rFonts w:ascii="Times New Roman" w:eastAsia="Times New Roman" w:hAnsi="Times New Roman" w:cs="Times New Roman"/>
          <w:color w:val="000000"/>
          <w:lang w:eastAsia="en-GB"/>
        </w:rPr>
        <w:t>;</w:t>
      </w:r>
      <w:r w:rsidR="00CA16F0" w:rsidRPr="00CA16F0">
        <w:rPr>
          <w:rFonts w:ascii="Times New Roman" w:eastAsia="Times New Roman" w:hAnsi="Times New Roman" w:cs="Times New Roman"/>
          <w:color w:val="000000"/>
          <w:lang w:eastAsia="en-GB"/>
        </w:rPr>
        <w:t xml:space="preserve"> and </w:t>
      </w:r>
      <w:r w:rsidR="00EF364B">
        <w:rPr>
          <w:rFonts w:ascii="Times New Roman" w:eastAsia="Times New Roman" w:hAnsi="Times New Roman" w:cs="Times New Roman"/>
          <w:color w:val="000000"/>
          <w:lang w:eastAsia="en-GB"/>
        </w:rPr>
        <w:t>they had been</w:t>
      </w:r>
      <w:r w:rsidR="00CA16F0" w:rsidRPr="00CA16F0">
        <w:rPr>
          <w:rFonts w:ascii="Times New Roman" w:eastAsia="Times New Roman" w:hAnsi="Times New Roman" w:cs="Times New Roman"/>
          <w:color w:val="000000"/>
          <w:lang w:eastAsia="en-GB"/>
        </w:rPr>
        <w:t xml:space="preserve"> subject to unauthorised use.</w:t>
      </w:r>
      <w:r w:rsidR="00644950">
        <w:rPr>
          <w:rStyle w:val="FootnoteReference"/>
          <w:rFonts w:ascii="Times New Roman" w:eastAsia="Times New Roman" w:hAnsi="Times New Roman" w:cs="Times New Roman"/>
          <w:color w:val="000000"/>
          <w:lang w:eastAsia="en-GB"/>
        </w:rPr>
        <w:footnoteReference w:id="49"/>
      </w:r>
      <w:r w:rsidR="00644950">
        <w:rPr>
          <w:rFonts w:ascii="Times New Roman" w:eastAsia="Times New Roman" w:hAnsi="Times New Roman" w:cs="Times New Roman"/>
          <w:color w:val="000000"/>
          <w:lang w:eastAsia="en-GB"/>
        </w:rPr>
        <w:t xml:space="preserve"> </w:t>
      </w:r>
    </w:p>
    <w:p w:rsidR="007F0317" w:rsidRDefault="00F9266D" w:rsidP="00F9266D">
      <w:pPr>
        <w:spacing w:line="480" w:lineRule="auto"/>
        <w:rPr>
          <w:rFonts w:ascii="Times New Roman" w:hAnsi="Times New Roman" w:cs="Times New Roman"/>
        </w:rPr>
      </w:pPr>
      <w:r w:rsidRPr="00164A00">
        <w:rPr>
          <w:rFonts w:ascii="Times New Roman" w:hAnsi="Times New Roman" w:cs="Times New Roman"/>
          <w:color w:val="000000" w:themeColor="text1"/>
        </w:rPr>
        <w:t xml:space="preserve">Only time will tell </w:t>
      </w:r>
      <w:r w:rsidR="006A57A0">
        <w:rPr>
          <w:rFonts w:ascii="Times New Roman" w:hAnsi="Times New Roman" w:cs="Times New Roman"/>
          <w:color w:val="000000" w:themeColor="text1"/>
        </w:rPr>
        <w:t xml:space="preserve">the extent to </w:t>
      </w:r>
      <w:r w:rsidRPr="00164A00">
        <w:rPr>
          <w:rFonts w:ascii="Times New Roman" w:hAnsi="Times New Roman" w:cs="Times New Roman"/>
          <w:color w:val="000000" w:themeColor="text1"/>
        </w:rPr>
        <w:t>wh</w:t>
      </w:r>
      <w:r w:rsidR="006A57A0">
        <w:rPr>
          <w:rFonts w:ascii="Times New Roman" w:hAnsi="Times New Roman" w:cs="Times New Roman"/>
          <w:color w:val="000000" w:themeColor="text1"/>
        </w:rPr>
        <w:t>ich</w:t>
      </w:r>
      <w:r w:rsidRPr="00164A00">
        <w:rPr>
          <w:rFonts w:ascii="Times New Roman" w:hAnsi="Times New Roman" w:cs="Times New Roman"/>
          <w:color w:val="000000" w:themeColor="text1"/>
        </w:rPr>
        <w:t xml:space="preserve"> the UK courts </w:t>
      </w:r>
      <w:r>
        <w:rPr>
          <w:rFonts w:ascii="Times New Roman" w:hAnsi="Times New Roman" w:cs="Times New Roman"/>
          <w:color w:val="000000" w:themeColor="text1"/>
        </w:rPr>
        <w:t xml:space="preserve">will </w:t>
      </w:r>
      <w:r w:rsidRPr="00164A00">
        <w:rPr>
          <w:rFonts w:ascii="Times New Roman" w:hAnsi="Times New Roman" w:cs="Times New Roman"/>
          <w:color w:val="000000" w:themeColor="text1"/>
        </w:rPr>
        <w:t xml:space="preserve">look across the Atlantic for guidance on the interpretation of </w:t>
      </w:r>
      <w:r>
        <w:rPr>
          <w:rFonts w:ascii="Times New Roman" w:hAnsi="Times New Roman" w:cs="Times New Roman"/>
          <w:color w:val="000000" w:themeColor="text1"/>
        </w:rPr>
        <w:t>“</w:t>
      </w:r>
      <w:r w:rsidRPr="00164A00">
        <w:rPr>
          <w:rFonts w:ascii="Times New Roman" w:hAnsi="Times New Roman" w:cs="Times New Roman"/>
          <w:color w:val="000000" w:themeColor="text1"/>
        </w:rPr>
        <w:t>reasonable</w:t>
      </w:r>
      <w:r>
        <w:rPr>
          <w:rFonts w:ascii="Times New Roman" w:hAnsi="Times New Roman" w:cs="Times New Roman"/>
          <w:color w:val="000000" w:themeColor="text1"/>
        </w:rPr>
        <w:t xml:space="preserve"> steps in </w:t>
      </w:r>
      <w:r w:rsidRPr="00164A00">
        <w:rPr>
          <w:rFonts w:ascii="Times New Roman" w:hAnsi="Times New Roman" w:cs="Times New Roman"/>
          <w:color w:val="000000" w:themeColor="text1"/>
        </w:rPr>
        <w:t>the circumstances</w:t>
      </w:r>
      <w:r>
        <w:rPr>
          <w:rFonts w:ascii="Times New Roman" w:hAnsi="Times New Roman" w:cs="Times New Roman"/>
          <w:color w:val="000000" w:themeColor="text1"/>
        </w:rPr>
        <w:t>”</w:t>
      </w:r>
      <w:r w:rsidRPr="00164A00">
        <w:rPr>
          <w:rFonts w:ascii="Times New Roman" w:hAnsi="Times New Roman" w:cs="Times New Roman"/>
          <w:color w:val="000000" w:themeColor="text1"/>
        </w:rPr>
        <w:t xml:space="preserve">. </w:t>
      </w:r>
      <w:r>
        <w:rPr>
          <w:rFonts w:ascii="Times New Roman" w:hAnsi="Times New Roman" w:cs="Times New Roman"/>
          <w:color w:val="000000" w:themeColor="text1"/>
        </w:rPr>
        <w:t>But u</w:t>
      </w:r>
      <w:r w:rsidRPr="00164A00">
        <w:rPr>
          <w:rFonts w:ascii="Times New Roman" w:hAnsi="Times New Roman" w:cs="Times New Roman"/>
          <w:color w:val="000000" w:themeColor="text1"/>
        </w:rPr>
        <w:t xml:space="preserve">nless and until </w:t>
      </w:r>
      <w:r w:rsidR="00821EFE">
        <w:rPr>
          <w:rFonts w:ascii="Times New Roman" w:hAnsi="Times New Roman" w:cs="Times New Roman"/>
          <w:color w:val="000000" w:themeColor="text1"/>
        </w:rPr>
        <w:t>compan</w:t>
      </w:r>
      <w:r w:rsidR="00EE5ED4">
        <w:rPr>
          <w:rFonts w:ascii="Times New Roman" w:hAnsi="Times New Roman" w:cs="Times New Roman"/>
          <w:color w:val="000000" w:themeColor="text1"/>
        </w:rPr>
        <w:t>ie</w:t>
      </w:r>
      <w:r w:rsidR="00821EFE">
        <w:rPr>
          <w:rFonts w:ascii="Times New Roman" w:hAnsi="Times New Roman" w:cs="Times New Roman"/>
          <w:color w:val="000000" w:themeColor="text1"/>
        </w:rPr>
        <w:t>s</w:t>
      </w:r>
      <w:r w:rsidRPr="00164A00">
        <w:rPr>
          <w:rFonts w:ascii="Times New Roman" w:hAnsi="Times New Roman" w:cs="Times New Roman"/>
          <w:color w:val="000000" w:themeColor="text1"/>
        </w:rPr>
        <w:t xml:space="preserve"> become aware of how </w:t>
      </w:r>
      <w:r>
        <w:rPr>
          <w:rFonts w:ascii="Times New Roman" w:hAnsi="Times New Roman" w:cs="Times New Roman"/>
          <w:color w:val="000000" w:themeColor="text1"/>
        </w:rPr>
        <w:t xml:space="preserve">high </w:t>
      </w:r>
      <w:r w:rsidRPr="00164A00">
        <w:rPr>
          <w:rFonts w:ascii="Times New Roman" w:hAnsi="Times New Roman" w:cs="Times New Roman"/>
          <w:color w:val="000000" w:themeColor="text1"/>
        </w:rPr>
        <w:t xml:space="preserve">the bar will be </w:t>
      </w:r>
      <w:r>
        <w:rPr>
          <w:rFonts w:ascii="Times New Roman" w:hAnsi="Times New Roman" w:cs="Times New Roman"/>
          <w:color w:val="000000" w:themeColor="text1"/>
        </w:rPr>
        <w:t xml:space="preserve">set </w:t>
      </w:r>
      <w:r w:rsidRPr="00164A00">
        <w:rPr>
          <w:rFonts w:ascii="Times New Roman" w:hAnsi="Times New Roman" w:cs="Times New Roman"/>
          <w:color w:val="000000" w:themeColor="text1"/>
        </w:rPr>
        <w:t xml:space="preserve">to discharge the </w:t>
      </w:r>
      <w:r w:rsidR="00EF364B">
        <w:rPr>
          <w:rFonts w:ascii="Times New Roman" w:hAnsi="Times New Roman" w:cs="Times New Roman"/>
          <w:color w:val="000000" w:themeColor="text1"/>
        </w:rPr>
        <w:t xml:space="preserve">legal </w:t>
      </w:r>
      <w:r w:rsidRPr="00164A00">
        <w:rPr>
          <w:rFonts w:ascii="Times New Roman" w:hAnsi="Times New Roman" w:cs="Times New Roman"/>
          <w:color w:val="000000" w:themeColor="text1"/>
        </w:rPr>
        <w:t>burden of showing that th</w:t>
      </w:r>
      <w:r>
        <w:rPr>
          <w:rFonts w:ascii="Times New Roman" w:hAnsi="Times New Roman" w:cs="Times New Roman"/>
          <w:color w:val="000000" w:themeColor="text1"/>
        </w:rPr>
        <w:t>e</w:t>
      </w:r>
      <w:r w:rsidRPr="00164A00">
        <w:rPr>
          <w:rFonts w:ascii="Times New Roman" w:hAnsi="Times New Roman" w:cs="Times New Roman"/>
          <w:color w:val="000000" w:themeColor="text1"/>
        </w:rPr>
        <w:t xml:space="preserve">se measures have been taken, </w:t>
      </w:r>
      <w:r>
        <w:rPr>
          <w:rFonts w:ascii="Times New Roman" w:hAnsi="Times New Roman" w:cs="Times New Roman"/>
          <w:color w:val="000000" w:themeColor="text1"/>
        </w:rPr>
        <w:t xml:space="preserve">there is likely to be a reluctance on the part of many SMEs </w:t>
      </w:r>
      <w:r w:rsidR="00EF364B">
        <w:rPr>
          <w:rFonts w:ascii="Times New Roman" w:hAnsi="Times New Roman" w:cs="Times New Roman"/>
          <w:color w:val="000000" w:themeColor="text1"/>
        </w:rPr>
        <w:t xml:space="preserve">in particular </w:t>
      </w:r>
      <w:r>
        <w:rPr>
          <w:rFonts w:ascii="Times New Roman" w:hAnsi="Times New Roman" w:cs="Times New Roman"/>
          <w:color w:val="000000" w:themeColor="text1"/>
        </w:rPr>
        <w:t>to fully utilise the potential benefits</w:t>
      </w:r>
      <w:r w:rsidR="008F504E">
        <w:rPr>
          <w:rStyle w:val="FootnoteReference"/>
          <w:rFonts w:ascii="Times New Roman" w:hAnsi="Times New Roman" w:cs="Times New Roman"/>
          <w:color w:val="000000" w:themeColor="text1"/>
        </w:rPr>
        <w:footnoteReference w:id="50"/>
      </w:r>
      <w:r>
        <w:rPr>
          <w:rFonts w:ascii="Times New Roman" w:hAnsi="Times New Roman" w:cs="Times New Roman"/>
          <w:color w:val="000000" w:themeColor="text1"/>
        </w:rPr>
        <w:t xml:space="preserve"> of the</w:t>
      </w:r>
      <w:r w:rsidR="00EF364B">
        <w:rPr>
          <w:rFonts w:ascii="Times New Roman" w:hAnsi="Times New Roman" w:cs="Times New Roman"/>
          <w:color w:val="000000" w:themeColor="text1"/>
        </w:rPr>
        <w:t>se</w:t>
      </w:r>
      <w:r>
        <w:rPr>
          <w:rFonts w:ascii="Times New Roman" w:hAnsi="Times New Roman" w:cs="Times New Roman"/>
          <w:color w:val="000000" w:themeColor="text1"/>
        </w:rPr>
        <w:t xml:space="preserve"> </w:t>
      </w:r>
      <w:r>
        <w:rPr>
          <w:rFonts w:ascii="Times New Roman" w:hAnsi="Times New Roman" w:cs="Times New Roman"/>
        </w:rPr>
        <w:t>new Regulations.</w:t>
      </w:r>
    </w:p>
    <w:p w:rsidR="008232A3" w:rsidRPr="00F9266D" w:rsidRDefault="008232A3" w:rsidP="00F9266D">
      <w:pPr>
        <w:spacing w:line="480" w:lineRule="auto"/>
        <w:rPr>
          <w:rFonts w:ascii="Times New Roman" w:hAnsi="Times New Roman" w:cs="Times New Roman"/>
        </w:rPr>
      </w:pPr>
      <w:r w:rsidRPr="008232A3">
        <w:rPr>
          <w:rFonts w:ascii="Times New Roman" w:hAnsi="Times New Roman" w:cs="Times New Roman"/>
        </w:rPr>
        <w:t xml:space="preserve">The UK </w:t>
      </w:r>
      <w:r>
        <w:rPr>
          <w:rFonts w:ascii="Times New Roman" w:hAnsi="Times New Roman" w:cs="Times New Roman"/>
        </w:rPr>
        <w:t>is unlikely to</w:t>
      </w:r>
      <w:r w:rsidRPr="008232A3">
        <w:rPr>
          <w:rFonts w:ascii="Times New Roman" w:hAnsi="Times New Roman" w:cs="Times New Roman"/>
        </w:rPr>
        <w:t xml:space="preserve"> differ from the US</w:t>
      </w:r>
      <w:r>
        <w:rPr>
          <w:rFonts w:ascii="Times New Roman" w:hAnsi="Times New Roman" w:cs="Times New Roman"/>
        </w:rPr>
        <w:t>A</w:t>
      </w:r>
      <w:r w:rsidRPr="008232A3">
        <w:rPr>
          <w:rFonts w:ascii="Times New Roman" w:hAnsi="Times New Roman" w:cs="Times New Roman"/>
        </w:rPr>
        <w:t xml:space="preserve"> insofar as the efforts of the </w:t>
      </w:r>
      <w:r w:rsidR="008F504E">
        <w:rPr>
          <w:rFonts w:ascii="Times New Roman" w:hAnsi="Times New Roman" w:cs="Times New Roman"/>
        </w:rPr>
        <w:t>c</w:t>
      </w:r>
      <w:r w:rsidRPr="008232A3">
        <w:rPr>
          <w:rFonts w:ascii="Times New Roman" w:hAnsi="Times New Roman" w:cs="Times New Roman"/>
        </w:rPr>
        <w:t>laimant will be evaluated in light of the entire factual situation</w:t>
      </w:r>
      <w:r w:rsidR="00EF364B">
        <w:rPr>
          <w:rFonts w:ascii="Times New Roman" w:hAnsi="Times New Roman" w:cs="Times New Roman"/>
        </w:rPr>
        <w:t>,</w:t>
      </w:r>
      <w:r w:rsidRPr="008232A3">
        <w:rPr>
          <w:rFonts w:ascii="Times New Roman" w:hAnsi="Times New Roman" w:cs="Times New Roman"/>
        </w:rPr>
        <w:t xml:space="preserve"> </w:t>
      </w:r>
      <w:r w:rsidR="00AD45B8">
        <w:rPr>
          <w:rFonts w:ascii="Times New Roman" w:hAnsi="Times New Roman" w:cs="Times New Roman"/>
        </w:rPr>
        <w:t>wi</w:t>
      </w:r>
      <w:r w:rsidR="00EF364B">
        <w:rPr>
          <w:rFonts w:ascii="Times New Roman" w:hAnsi="Times New Roman" w:cs="Times New Roman"/>
        </w:rPr>
        <w:t>th</w:t>
      </w:r>
      <w:r w:rsidR="00AD45B8">
        <w:rPr>
          <w:rFonts w:ascii="Times New Roman" w:hAnsi="Times New Roman" w:cs="Times New Roman"/>
        </w:rPr>
        <w:t xml:space="preserve"> no definitive </w:t>
      </w:r>
      <w:r w:rsidRPr="008232A3">
        <w:rPr>
          <w:rFonts w:ascii="Times New Roman" w:hAnsi="Times New Roman" w:cs="Times New Roman"/>
        </w:rPr>
        <w:t xml:space="preserve">checklist of </w:t>
      </w:r>
      <w:r w:rsidR="00AD45B8">
        <w:rPr>
          <w:rFonts w:ascii="Times New Roman" w:hAnsi="Times New Roman" w:cs="Times New Roman"/>
        </w:rPr>
        <w:t xml:space="preserve">applicable </w:t>
      </w:r>
      <w:r w:rsidRPr="008232A3">
        <w:rPr>
          <w:rFonts w:ascii="Times New Roman" w:hAnsi="Times New Roman" w:cs="Times New Roman"/>
        </w:rPr>
        <w:t xml:space="preserve">precautions </w:t>
      </w:r>
      <w:r w:rsidR="00AD45B8">
        <w:rPr>
          <w:rFonts w:ascii="Times New Roman" w:hAnsi="Times New Roman" w:cs="Times New Roman"/>
        </w:rPr>
        <w:t>to cover</w:t>
      </w:r>
      <w:r w:rsidRPr="008232A3">
        <w:rPr>
          <w:rFonts w:ascii="Times New Roman" w:hAnsi="Times New Roman" w:cs="Times New Roman"/>
        </w:rPr>
        <w:t xml:space="preserve"> all situations</w:t>
      </w:r>
      <w:r w:rsidR="00EF364B">
        <w:rPr>
          <w:rFonts w:ascii="Times New Roman" w:hAnsi="Times New Roman" w:cs="Times New Roman"/>
        </w:rPr>
        <w:t xml:space="preserve"> available for guidance</w:t>
      </w:r>
      <w:r w:rsidRPr="008232A3">
        <w:rPr>
          <w:rFonts w:ascii="Times New Roman" w:hAnsi="Times New Roman" w:cs="Times New Roman"/>
        </w:rPr>
        <w:t>.</w:t>
      </w:r>
      <w:r>
        <w:rPr>
          <w:rStyle w:val="FootnoteReference"/>
          <w:rFonts w:ascii="Times New Roman" w:hAnsi="Times New Roman" w:cs="Times New Roman"/>
        </w:rPr>
        <w:footnoteReference w:id="51"/>
      </w:r>
      <w:r w:rsidRPr="008232A3">
        <w:rPr>
          <w:rFonts w:ascii="Times New Roman" w:hAnsi="Times New Roman" w:cs="Times New Roman"/>
        </w:rPr>
        <w:t xml:space="preserve"> However, it </w:t>
      </w:r>
      <w:r w:rsidR="00AD45B8">
        <w:rPr>
          <w:rFonts w:ascii="Times New Roman" w:hAnsi="Times New Roman" w:cs="Times New Roman"/>
        </w:rPr>
        <w:t xml:space="preserve">will be </w:t>
      </w:r>
      <w:r w:rsidRPr="008232A3">
        <w:rPr>
          <w:rFonts w:ascii="Times New Roman" w:hAnsi="Times New Roman" w:cs="Times New Roman"/>
        </w:rPr>
        <w:t xml:space="preserve">open to the </w:t>
      </w:r>
      <w:r>
        <w:rPr>
          <w:rFonts w:ascii="Times New Roman" w:hAnsi="Times New Roman" w:cs="Times New Roman"/>
        </w:rPr>
        <w:t xml:space="preserve">UK </w:t>
      </w:r>
      <w:r w:rsidRPr="008232A3">
        <w:rPr>
          <w:rFonts w:ascii="Times New Roman" w:hAnsi="Times New Roman" w:cs="Times New Roman"/>
        </w:rPr>
        <w:t>jud</w:t>
      </w:r>
      <w:r w:rsidR="00AD45B8">
        <w:rPr>
          <w:rFonts w:ascii="Times New Roman" w:hAnsi="Times New Roman" w:cs="Times New Roman"/>
        </w:rPr>
        <w:t>ges</w:t>
      </w:r>
      <w:r w:rsidRPr="008232A3">
        <w:rPr>
          <w:rFonts w:ascii="Times New Roman" w:hAnsi="Times New Roman" w:cs="Times New Roman"/>
        </w:rPr>
        <w:t xml:space="preserve"> to develop a non</w:t>
      </w:r>
      <w:r>
        <w:rPr>
          <w:rFonts w:ascii="Times New Roman" w:hAnsi="Times New Roman" w:cs="Times New Roman"/>
        </w:rPr>
        <w:t>-</w:t>
      </w:r>
      <w:r w:rsidRPr="008232A3">
        <w:rPr>
          <w:rFonts w:ascii="Times New Roman" w:hAnsi="Times New Roman" w:cs="Times New Roman"/>
        </w:rPr>
        <w:t>exhaustive list of the basic precautions that a trade secret</w:t>
      </w:r>
      <w:r w:rsidR="008F504E">
        <w:rPr>
          <w:rFonts w:ascii="Times New Roman" w:hAnsi="Times New Roman" w:cs="Times New Roman"/>
        </w:rPr>
        <w:t>s</w:t>
      </w:r>
      <w:r w:rsidRPr="008232A3">
        <w:rPr>
          <w:rFonts w:ascii="Times New Roman" w:hAnsi="Times New Roman" w:cs="Times New Roman"/>
        </w:rPr>
        <w:t xml:space="preserve"> </w:t>
      </w:r>
      <w:r>
        <w:rPr>
          <w:rFonts w:ascii="Times New Roman" w:hAnsi="Times New Roman" w:cs="Times New Roman"/>
        </w:rPr>
        <w:t>holder</w:t>
      </w:r>
      <w:r w:rsidRPr="008232A3">
        <w:rPr>
          <w:rFonts w:ascii="Times New Roman" w:hAnsi="Times New Roman" w:cs="Times New Roman"/>
        </w:rPr>
        <w:t xml:space="preserve"> should take, in order to satisfy the requirement of reasonableness, which is likely to become the greatest </w:t>
      </w:r>
      <w:r w:rsidR="00EF364B">
        <w:rPr>
          <w:rFonts w:ascii="Times New Roman" w:hAnsi="Times New Roman" w:cs="Times New Roman"/>
        </w:rPr>
        <w:t xml:space="preserve">legal </w:t>
      </w:r>
      <w:r w:rsidRPr="008232A3">
        <w:rPr>
          <w:rFonts w:ascii="Times New Roman" w:hAnsi="Times New Roman" w:cs="Times New Roman"/>
        </w:rPr>
        <w:t>hurdle to overcome under the new Regulations. The most obvious measures will include the restriction of access to information, such as physical or network security</w:t>
      </w:r>
      <w:r w:rsidR="008F504E">
        <w:rPr>
          <w:rFonts w:ascii="Times New Roman" w:hAnsi="Times New Roman" w:cs="Times New Roman"/>
        </w:rPr>
        <w:t>;</w:t>
      </w:r>
      <w:r w:rsidRPr="008232A3">
        <w:rPr>
          <w:rFonts w:ascii="Times New Roman" w:hAnsi="Times New Roman" w:cs="Times New Roman"/>
        </w:rPr>
        <w:t xml:space="preserve"> NDA’s</w:t>
      </w:r>
      <w:r w:rsidR="008F504E">
        <w:rPr>
          <w:rFonts w:ascii="Times New Roman" w:hAnsi="Times New Roman" w:cs="Times New Roman"/>
        </w:rPr>
        <w:t>;</w:t>
      </w:r>
      <w:r w:rsidRPr="008232A3">
        <w:rPr>
          <w:rFonts w:ascii="Times New Roman" w:hAnsi="Times New Roman" w:cs="Times New Roman"/>
        </w:rPr>
        <w:t xml:space="preserve"> and the marking of documents as </w:t>
      </w:r>
      <w:r w:rsidR="00AD45B8">
        <w:rPr>
          <w:rFonts w:ascii="Times New Roman" w:hAnsi="Times New Roman" w:cs="Times New Roman"/>
        </w:rPr>
        <w:t>“C</w:t>
      </w:r>
      <w:r w:rsidRPr="008232A3">
        <w:rPr>
          <w:rFonts w:ascii="Times New Roman" w:hAnsi="Times New Roman" w:cs="Times New Roman"/>
        </w:rPr>
        <w:t>onfidential</w:t>
      </w:r>
      <w:r w:rsidR="00AD45B8">
        <w:rPr>
          <w:rFonts w:ascii="Times New Roman" w:hAnsi="Times New Roman" w:cs="Times New Roman"/>
        </w:rPr>
        <w:t>”</w:t>
      </w:r>
      <w:r w:rsidRPr="008232A3">
        <w:rPr>
          <w:rFonts w:ascii="Times New Roman" w:hAnsi="Times New Roman" w:cs="Times New Roman"/>
        </w:rPr>
        <w:t xml:space="preserve">. Companies will be required to have in place, a number of components to evidence the existence of an effective Trade Secret </w:t>
      </w:r>
      <w:r>
        <w:rPr>
          <w:rFonts w:ascii="Times New Roman" w:hAnsi="Times New Roman" w:cs="Times New Roman"/>
        </w:rPr>
        <w:lastRenderedPageBreak/>
        <w:t>P</w:t>
      </w:r>
      <w:r w:rsidRPr="008232A3">
        <w:rPr>
          <w:rFonts w:ascii="Times New Roman" w:hAnsi="Times New Roman" w:cs="Times New Roman"/>
        </w:rPr>
        <w:t xml:space="preserve">olicy. This will necessitate measures to identify, assess and manage trade secret assets and the risk of its </w:t>
      </w:r>
      <w:r w:rsidR="008F504E">
        <w:rPr>
          <w:rFonts w:ascii="Times New Roman" w:hAnsi="Times New Roman" w:cs="Times New Roman"/>
        </w:rPr>
        <w:t>misappropriation</w:t>
      </w:r>
      <w:r w:rsidRPr="008232A3">
        <w:rPr>
          <w:rFonts w:ascii="Times New Roman" w:hAnsi="Times New Roman" w:cs="Times New Roman"/>
        </w:rPr>
        <w:t xml:space="preserve">. It will be reasonable to appoint an individual or team of individuals to develop procedures to implement the </w:t>
      </w:r>
      <w:r w:rsidR="00BB39E7">
        <w:rPr>
          <w:rFonts w:ascii="Times New Roman" w:hAnsi="Times New Roman" w:cs="Times New Roman"/>
        </w:rPr>
        <w:t>P</w:t>
      </w:r>
      <w:r w:rsidRPr="008232A3">
        <w:rPr>
          <w:rFonts w:ascii="Times New Roman" w:hAnsi="Times New Roman" w:cs="Times New Roman"/>
        </w:rPr>
        <w:t>olicy, with the starting point being an effective internal and external NDA. Employees should undergo education and training on IP security</w:t>
      </w:r>
      <w:r w:rsidR="008F504E">
        <w:rPr>
          <w:rFonts w:ascii="Times New Roman" w:hAnsi="Times New Roman" w:cs="Times New Roman"/>
        </w:rPr>
        <w:t>,</w:t>
      </w:r>
      <w:r w:rsidRPr="008232A3">
        <w:rPr>
          <w:rFonts w:ascii="Times New Roman" w:hAnsi="Times New Roman" w:cs="Times New Roman"/>
        </w:rPr>
        <w:t xml:space="preserve"> and corrective measures should be in place, in order to ensure the consistent enforcement of the Trade Secrets Code of Conduct. The implementation of entry and exit interviews for employees should form part of the</w:t>
      </w:r>
      <w:r w:rsidR="008F504E">
        <w:rPr>
          <w:rFonts w:ascii="Times New Roman" w:hAnsi="Times New Roman" w:cs="Times New Roman"/>
        </w:rPr>
        <w:t>se</w:t>
      </w:r>
      <w:r w:rsidRPr="008232A3">
        <w:rPr>
          <w:rFonts w:ascii="Times New Roman" w:hAnsi="Times New Roman" w:cs="Times New Roman"/>
        </w:rPr>
        <w:t xml:space="preserve"> reasonable safeguards. Limiting access to certain areas of the premises, along with the issue of ID badges, may seem basic and obvious, but it will be a sensible starting point.</w:t>
      </w:r>
    </w:p>
    <w:p w:rsidR="00A27215" w:rsidRPr="00A27215" w:rsidRDefault="00F9266D" w:rsidP="00EF7408">
      <w:pPr>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Once</w:t>
      </w:r>
      <w:r w:rsidR="00A27215" w:rsidRPr="00A27215">
        <w:rPr>
          <w:rFonts w:ascii="Times New Roman" w:eastAsia="Times New Roman" w:hAnsi="Times New Roman" w:cs="Times New Roman"/>
          <w:lang w:eastAsia="en-GB"/>
        </w:rPr>
        <w:t xml:space="preserve"> the UK courts </w:t>
      </w:r>
      <w:r>
        <w:rPr>
          <w:rFonts w:ascii="Times New Roman" w:eastAsia="Times New Roman" w:hAnsi="Times New Roman" w:cs="Times New Roman"/>
          <w:lang w:eastAsia="en-GB"/>
        </w:rPr>
        <w:t xml:space="preserve">begin to </w:t>
      </w:r>
      <w:r w:rsidR="00A27215" w:rsidRPr="00A27215">
        <w:rPr>
          <w:rFonts w:ascii="Times New Roman" w:eastAsia="Times New Roman" w:hAnsi="Times New Roman" w:cs="Times New Roman"/>
          <w:lang w:eastAsia="en-GB"/>
        </w:rPr>
        <w:t xml:space="preserve">identify recurring factors which go on to constitute evidence of </w:t>
      </w:r>
      <w:r>
        <w:rPr>
          <w:rFonts w:ascii="Times New Roman" w:eastAsia="Times New Roman" w:hAnsi="Times New Roman" w:cs="Times New Roman"/>
          <w:lang w:eastAsia="en-GB"/>
        </w:rPr>
        <w:t>“</w:t>
      </w:r>
      <w:r w:rsidR="00A27215" w:rsidRPr="00A27215">
        <w:rPr>
          <w:rFonts w:ascii="Times New Roman" w:eastAsia="Times New Roman" w:hAnsi="Times New Roman" w:cs="Times New Roman"/>
          <w:lang w:eastAsia="en-GB"/>
        </w:rPr>
        <w:t xml:space="preserve">reasonable </w:t>
      </w:r>
      <w:r>
        <w:rPr>
          <w:rFonts w:ascii="Times New Roman" w:eastAsia="Times New Roman" w:hAnsi="Times New Roman" w:cs="Times New Roman"/>
          <w:lang w:eastAsia="en-GB"/>
        </w:rPr>
        <w:t>steps in the circumstances”</w:t>
      </w:r>
      <w:r w:rsidR="00A27215" w:rsidRPr="00A2721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we might </w:t>
      </w:r>
      <w:r w:rsidR="00A27215" w:rsidRPr="00A27215">
        <w:rPr>
          <w:rFonts w:ascii="Times New Roman" w:eastAsia="Times New Roman" w:hAnsi="Times New Roman" w:cs="Times New Roman"/>
          <w:lang w:eastAsia="en-GB"/>
        </w:rPr>
        <w:t xml:space="preserve">anticipate the growth of specialist </w:t>
      </w:r>
      <w:r w:rsidR="00821EFE">
        <w:rPr>
          <w:rFonts w:ascii="Times New Roman" w:eastAsia="Times New Roman" w:hAnsi="Times New Roman" w:cs="Times New Roman"/>
          <w:lang w:eastAsia="en-GB"/>
        </w:rPr>
        <w:t>trainers</w:t>
      </w:r>
      <w:r w:rsidR="00A27215" w:rsidRPr="00A27215">
        <w:rPr>
          <w:rFonts w:ascii="Times New Roman" w:eastAsia="Times New Roman" w:hAnsi="Times New Roman" w:cs="Times New Roman"/>
          <w:lang w:eastAsia="en-GB"/>
        </w:rPr>
        <w:t>, who profess to have detailed knowledge of trade secret protection and who are hired by co</w:t>
      </w:r>
      <w:r w:rsidR="00EF364B">
        <w:rPr>
          <w:rFonts w:ascii="Times New Roman" w:eastAsia="Times New Roman" w:hAnsi="Times New Roman" w:cs="Times New Roman"/>
          <w:lang w:eastAsia="en-GB"/>
        </w:rPr>
        <w:t xml:space="preserve">rporations </w:t>
      </w:r>
      <w:r w:rsidR="00A27215" w:rsidRPr="00A27215">
        <w:rPr>
          <w:rFonts w:ascii="Times New Roman" w:eastAsia="Times New Roman" w:hAnsi="Times New Roman" w:cs="Times New Roman"/>
          <w:lang w:eastAsia="en-GB"/>
        </w:rPr>
        <w:t>to undertake an assessment of the measures which have been put in place</w:t>
      </w:r>
      <w:r w:rsidR="008F504E">
        <w:rPr>
          <w:rFonts w:ascii="Times New Roman" w:eastAsia="Times New Roman" w:hAnsi="Times New Roman" w:cs="Times New Roman"/>
          <w:lang w:eastAsia="en-GB"/>
        </w:rPr>
        <w:t>,</w:t>
      </w:r>
      <w:r w:rsidR="00A27215" w:rsidRPr="00A27215">
        <w:rPr>
          <w:rFonts w:ascii="Times New Roman" w:eastAsia="Times New Roman" w:hAnsi="Times New Roman" w:cs="Times New Roman"/>
          <w:lang w:eastAsia="en-GB"/>
        </w:rPr>
        <w:t xml:space="preserve"> and to provide the appropriate training and certification of compliance. This has already been evidenced in the UK, following the implementation of the General Data Protection</w:t>
      </w:r>
      <w:r>
        <w:rPr>
          <w:rFonts w:ascii="Times New Roman" w:eastAsia="Times New Roman" w:hAnsi="Times New Roman" w:cs="Times New Roman"/>
          <w:lang w:eastAsia="en-GB"/>
        </w:rPr>
        <w:t xml:space="preserve"> </w:t>
      </w:r>
      <w:r w:rsidR="00A27215" w:rsidRPr="00A27215">
        <w:rPr>
          <w:rFonts w:ascii="Times New Roman" w:eastAsia="Times New Roman" w:hAnsi="Times New Roman" w:cs="Times New Roman"/>
          <w:lang w:eastAsia="en-GB"/>
        </w:rPr>
        <w:t>Regulation (GDPR)</w:t>
      </w:r>
      <w:r w:rsidR="001B386B">
        <w:rPr>
          <w:rFonts w:ascii="Times New Roman" w:eastAsia="Times New Roman" w:hAnsi="Times New Roman" w:cs="Times New Roman"/>
          <w:lang w:eastAsia="en-GB"/>
        </w:rPr>
        <w:t>.</w:t>
      </w:r>
      <w:r w:rsidR="00A27215">
        <w:rPr>
          <w:rStyle w:val="FootnoteReference"/>
          <w:rFonts w:ascii="Times New Roman" w:eastAsia="Times New Roman" w:hAnsi="Times New Roman" w:cs="Times New Roman"/>
          <w:lang w:eastAsia="en-GB"/>
        </w:rPr>
        <w:footnoteReference w:id="52"/>
      </w:r>
      <w:r w:rsidR="00A2721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007C27FC">
        <w:rPr>
          <w:rFonts w:ascii="Times New Roman" w:eastAsia="Times New Roman" w:hAnsi="Times New Roman" w:cs="Times New Roman"/>
          <w:lang w:eastAsia="en-GB"/>
        </w:rPr>
        <w:t xml:space="preserve">With appropriate </w:t>
      </w:r>
      <w:r w:rsidR="008F504E">
        <w:rPr>
          <w:rFonts w:ascii="Times New Roman" w:eastAsia="Times New Roman" w:hAnsi="Times New Roman" w:cs="Times New Roman"/>
          <w:lang w:eastAsia="en-GB"/>
        </w:rPr>
        <w:t>oversight,</w:t>
      </w:r>
      <w:r w:rsidR="007C27FC">
        <w:rPr>
          <w:rFonts w:ascii="Times New Roman" w:eastAsia="Times New Roman" w:hAnsi="Times New Roman" w:cs="Times New Roman"/>
          <w:lang w:eastAsia="en-GB"/>
        </w:rPr>
        <w:t xml:space="preserve"> </w:t>
      </w:r>
      <w:r w:rsidR="00A27215" w:rsidRPr="00A27215">
        <w:rPr>
          <w:rFonts w:ascii="Times New Roman" w:eastAsia="Times New Roman" w:hAnsi="Times New Roman" w:cs="Times New Roman"/>
          <w:lang w:eastAsia="en-GB"/>
        </w:rPr>
        <w:t xml:space="preserve">such </w:t>
      </w:r>
      <w:r w:rsidR="00AD45B8">
        <w:rPr>
          <w:rFonts w:ascii="Times New Roman" w:eastAsia="Times New Roman" w:hAnsi="Times New Roman" w:cs="Times New Roman"/>
          <w:lang w:eastAsia="en-GB"/>
        </w:rPr>
        <w:t xml:space="preserve">a </w:t>
      </w:r>
      <w:r w:rsidR="00A27215" w:rsidRPr="00A27215">
        <w:rPr>
          <w:rFonts w:ascii="Times New Roman" w:eastAsia="Times New Roman" w:hAnsi="Times New Roman" w:cs="Times New Roman"/>
          <w:lang w:eastAsia="en-GB"/>
        </w:rPr>
        <w:t>certification</w:t>
      </w:r>
      <w:r w:rsidR="00B4650C">
        <w:rPr>
          <w:rFonts w:ascii="Times New Roman" w:eastAsia="Times New Roman" w:hAnsi="Times New Roman" w:cs="Times New Roman"/>
          <w:lang w:eastAsia="en-GB"/>
        </w:rPr>
        <w:t xml:space="preserve"> of compliance</w:t>
      </w:r>
      <w:r w:rsidR="00A27215" w:rsidRPr="00A27215">
        <w:rPr>
          <w:rFonts w:ascii="Times New Roman" w:eastAsia="Times New Roman" w:hAnsi="Times New Roman" w:cs="Times New Roman"/>
          <w:lang w:eastAsia="en-GB"/>
        </w:rPr>
        <w:t xml:space="preserve">, may in itself, </w:t>
      </w:r>
      <w:r w:rsidR="007C27FC">
        <w:rPr>
          <w:rFonts w:ascii="Times New Roman" w:eastAsia="Times New Roman" w:hAnsi="Times New Roman" w:cs="Times New Roman"/>
          <w:lang w:eastAsia="en-GB"/>
        </w:rPr>
        <w:t xml:space="preserve">come to </w:t>
      </w:r>
      <w:r w:rsidR="00A27215" w:rsidRPr="00A27215">
        <w:rPr>
          <w:rFonts w:ascii="Times New Roman" w:eastAsia="Times New Roman" w:hAnsi="Times New Roman" w:cs="Times New Roman"/>
          <w:lang w:eastAsia="en-GB"/>
        </w:rPr>
        <w:t xml:space="preserve">satisfy the requirement of </w:t>
      </w:r>
      <w:r w:rsidR="008232A3">
        <w:rPr>
          <w:rFonts w:ascii="Times New Roman" w:eastAsia="Times New Roman" w:hAnsi="Times New Roman" w:cs="Times New Roman"/>
          <w:lang w:eastAsia="en-GB"/>
        </w:rPr>
        <w:t>“</w:t>
      </w:r>
      <w:r w:rsidR="00A27215" w:rsidRPr="00A27215">
        <w:rPr>
          <w:rFonts w:ascii="Times New Roman" w:eastAsia="Times New Roman" w:hAnsi="Times New Roman" w:cs="Times New Roman"/>
          <w:lang w:eastAsia="en-GB"/>
        </w:rPr>
        <w:t>reasonable steps</w:t>
      </w:r>
      <w:r w:rsidR="008232A3">
        <w:rPr>
          <w:rFonts w:ascii="Times New Roman" w:eastAsia="Times New Roman" w:hAnsi="Times New Roman" w:cs="Times New Roman"/>
          <w:lang w:eastAsia="en-GB"/>
        </w:rPr>
        <w:t>”</w:t>
      </w:r>
      <w:r w:rsidR="00A27215" w:rsidRPr="00A27215">
        <w:rPr>
          <w:rFonts w:ascii="Times New Roman" w:eastAsia="Times New Roman" w:hAnsi="Times New Roman" w:cs="Times New Roman"/>
          <w:lang w:eastAsia="en-GB"/>
        </w:rPr>
        <w:t xml:space="preserve"> in the course of trade secret litigation, but this </w:t>
      </w:r>
      <w:r w:rsidR="00EF364B">
        <w:rPr>
          <w:rFonts w:ascii="Times New Roman" w:eastAsia="Times New Roman" w:hAnsi="Times New Roman" w:cs="Times New Roman"/>
          <w:lang w:eastAsia="en-GB"/>
        </w:rPr>
        <w:t>has</w:t>
      </w:r>
      <w:r w:rsidR="00A27215" w:rsidRPr="00A27215">
        <w:rPr>
          <w:rFonts w:ascii="Times New Roman" w:eastAsia="Times New Roman" w:hAnsi="Times New Roman" w:cs="Times New Roman"/>
          <w:lang w:eastAsia="en-GB"/>
        </w:rPr>
        <w:t xml:space="preserve"> yet to be tested in any jurisdiction.</w:t>
      </w:r>
    </w:p>
    <w:p w:rsidR="00D84C0A" w:rsidRPr="00D84C0A" w:rsidRDefault="00D84C0A" w:rsidP="005072FF">
      <w:pPr>
        <w:spacing w:line="480" w:lineRule="auto"/>
        <w:rPr>
          <w:rFonts w:ascii="Times New Roman" w:hAnsi="Times New Roman" w:cs="Times New Roman"/>
        </w:rPr>
      </w:pPr>
    </w:p>
    <w:p w:rsidR="009975B3" w:rsidRPr="00E037A3" w:rsidRDefault="009975B3" w:rsidP="00144CC9">
      <w:pPr>
        <w:pStyle w:val="ListParagraph"/>
        <w:spacing w:line="480" w:lineRule="auto"/>
        <w:ind w:left="1080"/>
        <w:rPr>
          <w:rFonts w:ascii="Times New Roman" w:hAnsi="Times New Roman" w:cs="Times New Roman (Body CS)"/>
          <w:color w:val="FF0000"/>
        </w:rPr>
      </w:pPr>
    </w:p>
    <w:sectPr w:rsidR="009975B3" w:rsidRPr="00E037A3" w:rsidSect="005B6EF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4B" w:rsidRDefault="00042D4B" w:rsidP="00976189">
      <w:r>
        <w:separator/>
      </w:r>
    </w:p>
  </w:endnote>
  <w:endnote w:type="continuationSeparator" w:id="0">
    <w:p w:rsidR="00042D4B" w:rsidRDefault="00042D4B" w:rsidP="0097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617022"/>
      <w:docPartObj>
        <w:docPartGallery w:val="Page Numbers (Bottom of Page)"/>
        <w:docPartUnique/>
      </w:docPartObj>
    </w:sdtPr>
    <w:sdtEndPr>
      <w:rPr>
        <w:rStyle w:val="PageNumber"/>
      </w:rPr>
    </w:sdtEndPr>
    <w:sdtContent>
      <w:p w:rsidR="00A122A7" w:rsidRDefault="00A122A7" w:rsidP="00317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22A7" w:rsidRDefault="00A122A7" w:rsidP="00976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8981237"/>
      <w:docPartObj>
        <w:docPartGallery w:val="Page Numbers (Bottom of Page)"/>
        <w:docPartUnique/>
      </w:docPartObj>
    </w:sdtPr>
    <w:sdtEndPr>
      <w:rPr>
        <w:rStyle w:val="PageNumber"/>
      </w:rPr>
    </w:sdtEndPr>
    <w:sdtContent>
      <w:p w:rsidR="00A122A7" w:rsidRDefault="00A122A7" w:rsidP="00317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122A7" w:rsidRDefault="00A122A7" w:rsidP="009761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A7" w:rsidRDefault="00A12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4B" w:rsidRDefault="00042D4B" w:rsidP="00976189">
      <w:r>
        <w:separator/>
      </w:r>
    </w:p>
  </w:footnote>
  <w:footnote w:type="continuationSeparator" w:id="0">
    <w:p w:rsidR="00042D4B" w:rsidRDefault="00042D4B" w:rsidP="00976189">
      <w:r>
        <w:continuationSeparator/>
      </w:r>
    </w:p>
  </w:footnote>
  <w:footnote w:id="1">
    <w:p w:rsidR="00A122A7" w:rsidRPr="00C1714A" w:rsidRDefault="00A122A7" w:rsidP="00C1714A">
      <w:pPr>
        <w:pStyle w:val="FootnoteText"/>
        <w:spacing w:line="480" w:lineRule="auto"/>
        <w:rPr>
          <w:rFonts w:ascii="Times New Roman" w:hAnsi="Times New Roman" w:cs="Times New Roman"/>
        </w:rPr>
      </w:pPr>
      <w:r w:rsidRPr="00C1714A">
        <w:rPr>
          <w:rStyle w:val="FootnoteReference"/>
          <w:rFonts w:ascii="Times New Roman" w:hAnsi="Times New Roman" w:cs="Times New Roman"/>
        </w:rPr>
        <w:footnoteRef/>
      </w:r>
      <w:r w:rsidRPr="00C1714A">
        <w:rPr>
          <w:rFonts w:ascii="Times New Roman" w:hAnsi="Times New Roman" w:cs="Times New Roman"/>
        </w:rPr>
        <w:t xml:space="preserve"> IP Commission on the Theft of American Intellectual Property </w:t>
      </w:r>
      <w:r w:rsidRPr="00C1714A">
        <w:rPr>
          <w:rFonts w:ascii="Times New Roman" w:hAnsi="Times New Roman" w:cs="Times New Roman"/>
          <w:i/>
          <w:iCs/>
        </w:rPr>
        <w:t>Review: Progress and Updated Recommendations</w:t>
      </w:r>
      <w:r w:rsidRPr="00C1714A">
        <w:rPr>
          <w:rFonts w:ascii="Times New Roman" w:hAnsi="Times New Roman" w:cs="Times New Roman"/>
        </w:rPr>
        <w:t xml:space="preserve"> February 2019</w:t>
      </w:r>
      <w:r w:rsidR="008323A0">
        <w:rPr>
          <w:rFonts w:ascii="Times New Roman" w:hAnsi="Times New Roman" w:cs="Times New Roman"/>
        </w:rPr>
        <w:t>.</w:t>
      </w:r>
    </w:p>
  </w:footnote>
  <w:footnote w:id="2">
    <w:p w:rsidR="00A122A7" w:rsidRDefault="00A122A7" w:rsidP="00C1714A">
      <w:pPr>
        <w:pStyle w:val="FootnoteText"/>
        <w:spacing w:line="480" w:lineRule="auto"/>
      </w:pPr>
      <w:r w:rsidRPr="00C1714A">
        <w:rPr>
          <w:rStyle w:val="FootnoteReference"/>
          <w:rFonts w:ascii="Times New Roman" w:hAnsi="Times New Roman" w:cs="Times New Roman"/>
        </w:rPr>
        <w:footnoteRef/>
      </w:r>
      <w:r w:rsidRPr="00C1714A">
        <w:rPr>
          <w:rFonts w:ascii="Times New Roman" w:hAnsi="Times New Roman" w:cs="Times New Roman"/>
        </w:rPr>
        <w:t xml:space="preserve"> Jane Foulser-Mcfarlane, </w:t>
      </w:r>
      <w:r w:rsidRPr="00C1714A">
        <w:rPr>
          <w:rFonts w:ascii="Times New Roman" w:hAnsi="Times New Roman" w:cs="Times New Roman"/>
          <w:i/>
          <w:iCs/>
        </w:rPr>
        <w:t xml:space="preserve">Intellectual Property Rights: Infringement and Enforcement Issues in IP Wales funded businesses, </w:t>
      </w:r>
      <w:r w:rsidRPr="00C1714A">
        <w:rPr>
          <w:rFonts w:ascii="Times New Roman" w:hAnsi="Times New Roman" w:cs="Times New Roman"/>
        </w:rPr>
        <w:t xml:space="preserve">2011 </w:t>
      </w:r>
      <w:r w:rsidR="008323A0">
        <w:rPr>
          <w:rFonts w:ascii="Times New Roman" w:hAnsi="Times New Roman" w:cs="Times New Roman"/>
        </w:rPr>
        <w:t>(</w:t>
      </w:r>
      <w:r w:rsidRPr="00C1714A">
        <w:rPr>
          <w:rFonts w:ascii="Times New Roman" w:hAnsi="Times New Roman" w:cs="Times New Roman"/>
        </w:rPr>
        <w:t>on file with the authors</w:t>
      </w:r>
      <w:r w:rsidR="008323A0">
        <w:rPr>
          <w:rFonts w:ascii="Times New Roman" w:hAnsi="Times New Roman" w:cs="Times New Roman"/>
        </w:rPr>
        <w:t>).</w:t>
      </w:r>
    </w:p>
  </w:footnote>
  <w:footnote w:id="3">
    <w:p w:rsidR="00A122A7" w:rsidRPr="00C1714A" w:rsidRDefault="00A122A7" w:rsidP="00C1714A">
      <w:pPr>
        <w:spacing w:line="480" w:lineRule="auto"/>
        <w:rPr>
          <w:rFonts w:ascii="Times New Roman" w:hAnsi="Times New Roman" w:cs="Times New Roman"/>
          <w:sz w:val="20"/>
          <w:szCs w:val="20"/>
        </w:rPr>
      </w:pPr>
      <w:r w:rsidRPr="00C1714A">
        <w:rPr>
          <w:rStyle w:val="FootnoteReference"/>
          <w:rFonts w:ascii="Times New Roman" w:hAnsi="Times New Roman" w:cs="Times New Roman"/>
          <w:sz w:val="20"/>
          <w:szCs w:val="20"/>
        </w:rPr>
        <w:footnoteRef/>
      </w:r>
      <w:r w:rsidRPr="00C1714A">
        <w:rPr>
          <w:rFonts w:ascii="Times New Roman" w:hAnsi="Times New Roman" w:cs="Times New Roman"/>
          <w:sz w:val="20"/>
          <w:szCs w:val="20"/>
        </w:rPr>
        <w:t xml:space="preserve"> Mike Palmedo, APEC Ministers Endorse </w:t>
      </w:r>
      <w:r w:rsidRPr="00C1714A">
        <w:rPr>
          <w:rFonts w:ascii="Times New Roman" w:hAnsi="Times New Roman" w:cs="Times New Roman"/>
          <w:i/>
          <w:iCs/>
          <w:sz w:val="20"/>
          <w:szCs w:val="20"/>
        </w:rPr>
        <w:t>Best Practices in Trade Secret Protection and Enforcement Against Misappropriation (infojustice.org, 21 November 2016) &lt;</w:t>
      </w:r>
      <w:r w:rsidRPr="00C1714A">
        <w:rPr>
          <w:rFonts w:ascii="Times New Roman" w:hAnsi="Times New Roman" w:cs="Times New Roman"/>
          <w:sz w:val="20"/>
          <w:szCs w:val="20"/>
        </w:rPr>
        <w:t xml:space="preserve"> </w:t>
      </w:r>
      <w:hyperlink r:id="rId1" w:history="1">
        <w:r w:rsidRPr="00C1714A">
          <w:rPr>
            <w:rStyle w:val="Hyperlink"/>
            <w:rFonts w:ascii="Times New Roman" w:hAnsi="Times New Roman" w:cs="Times New Roman"/>
            <w:sz w:val="20"/>
            <w:szCs w:val="20"/>
          </w:rPr>
          <w:t>http://infojustice.org/archives/37372</w:t>
        </w:r>
      </w:hyperlink>
      <w:r w:rsidRPr="00C1714A">
        <w:rPr>
          <w:rFonts w:ascii="Times New Roman" w:hAnsi="Times New Roman" w:cs="Times New Roman"/>
          <w:sz w:val="20"/>
          <w:szCs w:val="20"/>
        </w:rPr>
        <w:t>&gt; accessed 8</w:t>
      </w:r>
      <w:r w:rsidRPr="00C1714A">
        <w:rPr>
          <w:rFonts w:ascii="Times New Roman" w:hAnsi="Times New Roman" w:cs="Times New Roman"/>
          <w:sz w:val="20"/>
          <w:szCs w:val="20"/>
          <w:vertAlign w:val="superscript"/>
        </w:rPr>
        <w:t>th</w:t>
      </w:r>
      <w:r w:rsidRPr="00C1714A">
        <w:rPr>
          <w:rFonts w:ascii="Times New Roman" w:hAnsi="Times New Roman" w:cs="Times New Roman"/>
          <w:sz w:val="20"/>
          <w:szCs w:val="20"/>
        </w:rPr>
        <w:t xml:space="preserve"> August 2019</w:t>
      </w:r>
      <w:r w:rsidR="00645F58">
        <w:rPr>
          <w:rFonts w:ascii="Times New Roman" w:hAnsi="Times New Roman" w:cs="Times New Roman"/>
          <w:sz w:val="20"/>
          <w:szCs w:val="20"/>
        </w:rPr>
        <w:t xml:space="preserve">. </w:t>
      </w:r>
      <w:r w:rsidR="00645F58" w:rsidRPr="00645F58">
        <w:rPr>
          <w:rFonts w:ascii="Times New Roman" w:hAnsi="Times New Roman" w:cs="Times New Roman"/>
          <w:i/>
          <w:iCs/>
          <w:sz w:val="20"/>
          <w:szCs w:val="20"/>
        </w:rPr>
        <w:t>Emphasis added</w:t>
      </w:r>
    </w:p>
  </w:footnote>
  <w:footnote w:id="4">
    <w:p w:rsidR="00645F58" w:rsidRDefault="00645F58" w:rsidP="00645F58">
      <w:pPr>
        <w:pStyle w:val="FootnoteText"/>
        <w:spacing w:line="480" w:lineRule="auto"/>
      </w:pPr>
      <w:r>
        <w:rPr>
          <w:rStyle w:val="FootnoteReference"/>
        </w:rPr>
        <w:footnoteRef/>
      </w:r>
      <w:r>
        <w:t xml:space="preserve"> </w:t>
      </w:r>
      <w:r w:rsidRPr="00C1714A">
        <w:rPr>
          <w:rFonts w:ascii="Times New Roman" w:hAnsi="Times New Roman" w:cs="Times New Roman"/>
        </w:rPr>
        <w:t>A</w:t>
      </w:r>
      <w:r w:rsidR="00835F22">
        <w:rPr>
          <w:rFonts w:ascii="Times New Roman" w:hAnsi="Times New Roman" w:cs="Times New Roman"/>
        </w:rPr>
        <w:t>.</w:t>
      </w:r>
      <w:r w:rsidRPr="00C1714A">
        <w:rPr>
          <w:rFonts w:ascii="Times New Roman" w:hAnsi="Times New Roman" w:cs="Times New Roman"/>
        </w:rPr>
        <w:t xml:space="preserve"> Beale, S</w:t>
      </w:r>
      <w:r w:rsidR="00835F22">
        <w:rPr>
          <w:rFonts w:ascii="Times New Roman" w:hAnsi="Times New Roman" w:cs="Times New Roman"/>
        </w:rPr>
        <w:t>.</w:t>
      </w:r>
      <w:r w:rsidRPr="00C1714A">
        <w:rPr>
          <w:rFonts w:ascii="Times New Roman" w:hAnsi="Times New Roman" w:cs="Times New Roman"/>
        </w:rPr>
        <w:t xml:space="preserve"> Ratcliffe</w:t>
      </w:r>
      <w:r>
        <w:rPr>
          <w:rFonts w:ascii="Times New Roman" w:hAnsi="Times New Roman" w:cs="Times New Roman"/>
        </w:rPr>
        <w:t xml:space="preserve"> &amp;</w:t>
      </w:r>
      <w:r w:rsidRPr="00C1714A">
        <w:rPr>
          <w:rFonts w:ascii="Times New Roman" w:hAnsi="Times New Roman" w:cs="Times New Roman"/>
        </w:rPr>
        <w:t xml:space="preserve"> A</w:t>
      </w:r>
      <w:r w:rsidR="00835F22">
        <w:rPr>
          <w:rFonts w:ascii="Times New Roman" w:hAnsi="Times New Roman" w:cs="Times New Roman"/>
        </w:rPr>
        <w:t>.</w:t>
      </w:r>
      <w:r w:rsidRPr="00C1714A">
        <w:rPr>
          <w:rFonts w:ascii="Times New Roman" w:hAnsi="Times New Roman" w:cs="Times New Roman"/>
        </w:rPr>
        <w:t xml:space="preserve"> </w:t>
      </w:r>
      <w:proofErr w:type="spellStart"/>
      <w:r w:rsidRPr="00C1714A">
        <w:rPr>
          <w:rFonts w:ascii="Times New Roman" w:hAnsi="Times New Roman" w:cs="Times New Roman"/>
        </w:rPr>
        <w:t>Tettenborn</w:t>
      </w:r>
      <w:proofErr w:type="spellEnd"/>
      <w:r w:rsidRPr="00C1714A">
        <w:rPr>
          <w:rFonts w:ascii="Times New Roman" w:hAnsi="Times New Roman" w:cs="Times New Roman"/>
        </w:rPr>
        <w:t xml:space="preserve">, </w:t>
      </w:r>
      <w:r>
        <w:rPr>
          <w:rFonts w:ascii="Times New Roman" w:hAnsi="Times New Roman" w:cs="Times New Roman"/>
        </w:rPr>
        <w:t>“</w:t>
      </w:r>
      <w:r w:rsidRPr="00645F58">
        <w:rPr>
          <w:rFonts w:ascii="Times New Roman" w:hAnsi="Times New Roman" w:cs="Times New Roman"/>
        </w:rPr>
        <w:t>The Protection of Data in our Digital Age</w:t>
      </w:r>
      <w:r w:rsidR="008323A0">
        <w:rPr>
          <w:rFonts w:ascii="Times New Roman" w:hAnsi="Times New Roman" w:cs="Times New Roman"/>
        </w:rPr>
        <w:t>”</w:t>
      </w:r>
      <w:r w:rsidRPr="00C1714A">
        <w:rPr>
          <w:rFonts w:ascii="Times New Roman" w:hAnsi="Times New Roman" w:cs="Times New Roman"/>
        </w:rPr>
        <w:t xml:space="preserve"> [2017] J</w:t>
      </w:r>
      <w:r w:rsidR="008323A0">
        <w:rPr>
          <w:rFonts w:ascii="Times New Roman" w:hAnsi="Times New Roman" w:cs="Times New Roman"/>
        </w:rPr>
        <w:t>.</w:t>
      </w:r>
      <w:r w:rsidRPr="00C1714A">
        <w:rPr>
          <w:rFonts w:ascii="Times New Roman" w:hAnsi="Times New Roman" w:cs="Times New Roman"/>
        </w:rPr>
        <w:t>B</w:t>
      </w:r>
      <w:r w:rsidR="008323A0">
        <w:rPr>
          <w:rFonts w:ascii="Times New Roman" w:hAnsi="Times New Roman" w:cs="Times New Roman"/>
        </w:rPr>
        <w:t>.</w:t>
      </w:r>
      <w:r w:rsidRPr="00C1714A">
        <w:rPr>
          <w:rFonts w:ascii="Times New Roman" w:hAnsi="Times New Roman" w:cs="Times New Roman"/>
        </w:rPr>
        <w:t xml:space="preserve">L, </w:t>
      </w:r>
      <w:r w:rsidR="008323A0">
        <w:rPr>
          <w:rFonts w:ascii="Times New Roman" w:hAnsi="Times New Roman" w:cs="Times New Roman"/>
        </w:rPr>
        <w:t xml:space="preserve">461, </w:t>
      </w:r>
      <w:r w:rsidRPr="00C1714A">
        <w:rPr>
          <w:rFonts w:ascii="Times New Roman" w:hAnsi="Times New Roman" w:cs="Times New Roman"/>
        </w:rPr>
        <w:t>4</w:t>
      </w:r>
      <w:r w:rsidR="000C3A55">
        <w:rPr>
          <w:rFonts w:ascii="Times New Roman" w:hAnsi="Times New Roman" w:cs="Times New Roman"/>
        </w:rPr>
        <w:t>70</w:t>
      </w:r>
      <w:r w:rsidR="008323A0">
        <w:rPr>
          <w:rFonts w:ascii="Times New Roman" w:hAnsi="Times New Roman" w:cs="Times New Roman"/>
        </w:rPr>
        <w:t>.</w:t>
      </w:r>
    </w:p>
  </w:footnote>
  <w:footnote w:id="5">
    <w:p w:rsidR="00A122A7" w:rsidRPr="00BA6B46" w:rsidRDefault="00A122A7" w:rsidP="00C1714A">
      <w:pPr>
        <w:pStyle w:val="FootnoteText"/>
        <w:spacing w:line="480" w:lineRule="auto"/>
        <w:rPr>
          <w:rFonts w:ascii="Times New Roman" w:hAnsi="Times New Roman" w:cs="Times New Roman"/>
        </w:rPr>
      </w:pPr>
      <w:r w:rsidRPr="00C1714A">
        <w:rPr>
          <w:rStyle w:val="FootnoteReference"/>
          <w:rFonts w:ascii="Times New Roman" w:hAnsi="Times New Roman" w:cs="Times New Roman"/>
        </w:rPr>
        <w:footnoteRef/>
      </w:r>
      <w:r w:rsidRPr="00C1714A">
        <w:rPr>
          <w:rFonts w:ascii="Times New Roman" w:hAnsi="Times New Roman" w:cs="Times New Roman"/>
        </w:rPr>
        <w:t xml:space="preserve"> R</w:t>
      </w:r>
      <w:r w:rsidR="00835F22">
        <w:rPr>
          <w:rFonts w:ascii="Times New Roman" w:hAnsi="Times New Roman" w:cs="Times New Roman"/>
        </w:rPr>
        <w:t>.</w:t>
      </w:r>
      <w:r w:rsidRPr="00C1714A">
        <w:rPr>
          <w:rFonts w:ascii="Times New Roman" w:hAnsi="Times New Roman" w:cs="Times New Roman"/>
        </w:rPr>
        <w:t xml:space="preserve"> Jacob, D</w:t>
      </w:r>
      <w:r w:rsidR="00835F22">
        <w:rPr>
          <w:rFonts w:ascii="Times New Roman" w:hAnsi="Times New Roman" w:cs="Times New Roman"/>
        </w:rPr>
        <w:t>.</w:t>
      </w:r>
      <w:r w:rsidRPr="00C1714A">
        <w:rPr>
          <w:rFonts w:ascii="Times New Roman" w:hAnsi="Times New Roman" w:cs="Times New Roman"/>
        </w:rPr>
        <w:t xml:space="preserve"> Alexander</w:t>
      </w:r>
      <w:r w:rsidR="008323A0">
        <w:rPr>
          <w:rFonts w:ascii="Times New Roman" w:hAnsi="Times New Roman" w:cs="Times New Roman"/>
        </w:rPr>
        <w:t xml:space="preserve"> &amp;</w:t>
      </w:r>
      <w:r w:rsidRPr="00C1714A">
        <w:rPr>
          <w:rFonts w:ascii="Times New Roman" w:hAnsi="Times New Roman" w:cs="Times New Roman"/>
        </w:rPr>
        <w:t xml:space="preserve"> M</w:t>
      </w:r>
      <w:r w:rsidR="00835F22">
        <w:rPr>
          <w:rFonts w:ascii="Times New Roman" w:hAnsi="Times New Roman" w:cs="Times New Roman"/>
        </w:rPr>
        <w:t>.</w:t>
      </w:r>
      <w:r w:rsidRPr="00C1714A">
        <w:rPr>
          <w:rFonts w:ascii="Times New Roman" w:hAnsi="Times New Roman" w:cs="Times New Roman"/>
        </w:rPr>
        <w:t xml:space="preserve"> Fisher, </w:t>
      </w:r>
      <w:r w:rsidRPr="00C1714A">
        <w:rPr>
          <w:rFonts w:ascii="Times New Roman" w:hAnsi="Times New Roman" w:cs="Times New Roman"/>
          <w:i/>
          <w:iCs/>
        </w:rPr>
        <w:t xml:space="preserve">Guidebook to Intellectual Property </w:t>
      </w:r>
      <w:r w:rsidRPr="00C1714A">
        <w:rPr>
          <w:rFonts w:ascii="Times New Roman" w:hAnsi="Times New Roman" w:cs="Times New Roman"/>
        </w:rPr>
        <w:t>(6</w:t>
      </w:r>
      <w:r w:rsidRPr="00C1714A">
        <w:rPr>
          <w:rFonts w:ascii="Times New Roman" w:hAnsi="Times New Roman" w:cs="Times New Roman"/>
          <w:vertAlign w:val="superscript"/>
        </w:rPr>
        <w:t>th</w:t>
      </w:r>
      <w:r w:rsidRPr="00C1714A">
        <w:rPr>
          <w:rFonts w:ascii="Times New Roman" w:hAnsi="Times New Roman" w:cs="Times New Roman"/>
        </w:rPr>
        <w:t xml:space="preserve"> </w:t>
      </w:r>
      <w:proofErr w:type="spellStart"/>
      <w:r w:rsidRPr="00C1714A">
        <w:rPr>
          <w:rFonts w:ascii="Times New Roman" w:hAnsi="Times New Roman" w:cs="Times New Roman"/>
        </w:rPr>
        <w:t>edn</w:t>
      </w:r>
      <w:proofErr w:type="spellEnd"/>
      <w:r w:rsidRPr="00C1714A">
        <w:rPr>
          <w:rFonts w:ascii="Times New Roman" w:hAnsi="Times New Roman" w:cs="Times New Roman"/>
        </w:rPr>
        <w:t>, Hart 2013)</w:t>
      </w:r>
      <w:r w:rsidR="00BA6B46">
        <w:rPr>
          <w:rFonts w:ascii="Times New Roman" w:hAnsi="Times New Roman" w:cs="Times New Roman"/>
        </w:rPr>
        <w:t xml:space="preserve"> </w:t>
      </w:r>
      <w:r w:rsidRPr="00C1714A">
        <w:rPr>
          <w:rFonts w:ascii="Times New Roman" w:hAnsi="Times New Roman" w:cs="Times New Roman"/>
        </w:rPr>
        <w:t>at 205 - “</w:t>
      </w:r>
      <w:r w:rsidRPr="00C1714A">
        <w:rPr>
          <w:rFonts w:ascii="Times New Roman" w:eastAsia="Times New Roman" w:hAnsi="Times New Roman" w:cs="Times New Roman"/>
          <w:color w:val="000000"/>
          <w:lang w:eastAsia="en-GB"/>
        </w:rPr>
        <w:t>Trade secrets are non-exclusive, so it is not a misappropriation to independently discover the secret information or otherwise reverse engineer it from a properly obtained source. Moreover, trade secrets have been described as ‘too slipper</w:t>
      </w:r>
      <w:r>
        <w:rPr>
          <w:rFonts w:ascii="Times New Roman" w:eastAsia="Times New Roman" w:hAnsi="Times New Roman" w:cs="Times New Roman"/>
          <w:color w:val="000000"/>
          <w:lang w:eastAsia="en-GB"/>
        </w:rPr>
        <w:t>y</w:t>
      </w:r>
      <w:r w:rsidRPr="00C1714A">
        <w:rPr>
          <w:rFonts w:ascii="Times New Roman" w:eastAsia="Times New Roman" w:hAnsi="Times New Roman" w:cs="Times New Roman"/>
          <w:color w:val="000000"/>
          <w:lang w:eastAsia="en-GB"/>
        </w:rPr>
        <w:t>’ for any higher legal protection because information is not treated in law as property</w:t>
      </w:r>
      <w:r w:rsidR="00CC3704">
        <w:rPr>
          <w:rFonts w:ascii="Times New Roman" w:eastAsia="Times New Roman" w:hAnsi="Times New Roman" w:cs="Times New Roman"/>
          <w:color w:val="000000"/>
          <w:lang w:eastAsia="en-GB"/>
        </w:rPr>
        <w:t>.</w:t>
      </w:r>
      <w:r w:rsidRPr="00C1714A">
        <w:rPr>
          <w:rFonts w:ascii="Times New Roman" w:eastAsia="Times New Roman" w:hAnsi="Times New Roman" w:cs="Times New Roman"/>
          <w:color w:val="000000"/>
          <w:lang w:eastAsia="en-GB"/>
        </w:rPr>
        <w:t>”</w:t>
      </w:r>
    </w:p>
  </w:footnote>
  <w:footnote w:id="6">
    <w:p w:rsidR="00A122A7" w:rsidRPr="00C1714A" w:rsidRDefault="00A122A7" w:rsidP="00C1714A">
      <w:pPr>
        <w:pStyle w:val="FootnoteText"/>
        <w:spacing w:line="480" w:lineRule="auto"/>
        <w:rPr>
          <w:rFonts w:ascii="Times New Roman" w:hAnsi="Times New Roman" w:cs="Times New Roman"/>
        </w:rPr>
      </w:pPr>
      <w:r w:rsidRPr="00C1714A">
        <w:rPr>
          <w:rStyle w:val="FootnoteReference"/>
          <w:rFonts w:ascii="Times New Roman" w:hAnsi="Times New Roman" w:cs="Times New Roman"/>
        </w:rPr>
        <w:footnoteRef/>
      </w:r>
      <w:r w:rsidRPr="00C1714A">
        <w:rPr>
          <w:rFonts w:ascii="Times New Roman" w:hAnsi="Times New Roman" w:cs="Times New Roman"/>
        </w:rPr>
        <w:t xml:space="preserve"> World Trade Organisation, Agreement on Trade-Related Intellectual Property Rights, 1994</w:t>
      </w:r>
      <w:r w:rsidR="008323A0">
        <w:rPr>
          <w:rFonts w:ascii="Times New Roman" w:hAnsi="Times New Roman" w:cs="Times New Roman"/>
        </w:rPr>
        <w:t>.</w:t>
      </w:r>
    </w:p>
  </w:footnote>
  <w:footnote w:id="7">
    <w:p w:rsidR="00A122A7" w:rsidRPr="00C1714A" w:rsidRDefault="00A122A7" w:rsidP="00C1714A">
      <w:pPr>
        <w:spacing w:line="480" w:lineRule="auto"/>
        <w:rPr>
          <w:rFonts w:ascii="Times New Roman" w:eastAsia="Times New Roman" w:hAnsi="Times New Roman" w:cs="Times New Roman"/>
          <w:sz w:val="20"/>
          <w:szCs w:val="20"/>
          <w:lang w:eastAsia="en-GB"/>
        </w:rPr>
      </w:pPr>
      <w:r w:rsidRPr="00C1714A">
        <w:rPr>
          <w:rStyle w:val="FootnoteReference"/>
          <w:rFonts w:ascii="Times New Roman" w:hAnsi="Times New Roman" w:cs="Times New Roman"/>
          <w:sz w:val="20"/>
          <w:szCs w:val="20"/>
        </w:rPr>
        <w:footnoteRef/>
      </w:r>
      <w:r w:rsidRPr="00C1714A">
        <w:rPr>
          <w:rFonts w:ascii="Times New Roman" w:hAnsi="Times New Roman" w:cs="Times New Roman"/>
          <w:sz w:val="20"/>
          <w:szCs w:val="20"/>
        </w:rPr>
        <w:t xml:space="preserve"> </w:t>
      </w:r>
      <w:r w:rsidRPr="00C1714A">
        <w:rPr>
          <w:rFonts w:ascii="Times New Roman" w:eastAsia="Times New Roman" w:hAnsi="Times New Roman" w:cs="Times New Roman"/>
          <w:i/>
          <w:iCs/>
          <w:color w:val="000000"/>
          <w:sz w:val="20"/>
          <w:szCs w:val="20"/>
          <w:lang w:eastAsia="en-GB"/>
        </w:rPr>
        <w:t>Survey on Technology Transfer Agreements and Antitrust</w:t>
      </w:r>
      <w:r w:rsidRPr="00C1714A">
        <w:rPr>
          <w:rFonts w:ascii="Times New Roman" w:eastAsia="Times New Roman" w:hAnsi="Times New Roman" w:cs="Times New Roman"/>
          <w:color w:val="000000"/>
          <w:sz w:val="20"/>
          <w:szCs w:val="20"/>
          <w:lang w:eastAsia="en-GB"/>
        </w:rPr>
        <w:t xml:space="preserve"> (2013) WIPO Geneva</w:t>
      </w:r>
      <w:r w:rsidR="008323A0">
        <w:rPr>
          <w:rFonts w:ascii="Times New Roman" w:eastAsia="Times New Roman" w:hAnsi="Times New Roman" w:cs="Times New Roman"/>
          <w:color w:val="000000"/>
          <w:sz w:val="20"/>
          <w:szCs w:val="20"/>
          <w:lang w:eastAsia="en-GB"/>
        </w:rPr>
        <w:t>.</w:t>
      </w:r>
    </w:p>
  </w:footnote>
  <w:footnote w:id="8">
    <w:p w:rsidR="00A122A7" w:rsidRPr="00C1714A" w:rsidRDefault="00A122A7" w:rsidP="00C1714A">
      <w:pPr>
        <w:pStyle w:val="FootnoteText"/>
        <w:spacing w:line="480" w:lineRule="auto"/>
        <w:rPr>
          <w:rFonts w:ascii="Times New Roman" w:hAnsi="Times New Roman" w:cs="Times New Roman"/>
        </w:rPr>
      </w:pPr>
      <w:r w:rsidRPr="00C1714A">
        <w:rPr>
          <w:rStyle w:val="FootnoteReference"/>
          <w:rFonts w:ascii="Times New Roman" w:hAnsi="Times New Roman" w:cs="Times New Roman"/>
        </w:rPr>
        <w:footnoteRef/>
      </w:r>
      <w:r w:rsidRPr="00C1714A">
        <w:rPr>
          <w:rFonts w:ascii="Times New Roman" w:hAnsi="Times New Roman" w:cs="Times New Roman"/>
        </w:rPr>
        <w:t xml:space="preserve"> SI 2018/597</w:t>
      </w:r>
      <w:r w:rsidR="008323A0">
        <w:rPr>
          <w:rFonts w:ascii="Times New Roman" w:hAnsi="Times New Roman" w:cs="Times New Roman"/>
        </w:rPr>
        <w:t>.</w:t>
      </w:r>
    </w:p>
  </w:footnote>
  <w:footnote w:id="9">
    <w:p w:rsidR="00A122A7" w:rsidRPr="00C1714A" w:rsidRDefault="00A122A7" w:rsidP="00C1714A">
      <w:pPr>
        <w:pStyle w:val="FootnoteText"/>
        <w:spacing w:line="480" w:lineRule="auto"/>
        <w:rPr>
          <w:rFonts w:ascii="Times New Roman" w:hAnsi="Times New Roman" w:cs="Times New Roman"/>
        </w:rPr>
      </w:pPr>
      <w:r w:rsidRPr="00C1714A">
        <w:rPr>
          <w:rStyle w:val="FootnoteReference"/>
          <w:rFonts w:ascii="Times New Roman" w:hAnsi="Times New Roman" w:cs="Times New Roman"/>
        </w:rPr>
        <w:footnoteRef/>
      </w:r>
      <w:r w:rsidRPr="00C1714A">
        <w:rPr>
          <w:rFonts w:ascii="Times New Roman" w:hAnsi="Times New Roman" w:cs="Times New Roman"/>
        </w:rPr>
        <w:t xml:space="preserve"> </w:t>
      </w:r>
      <w:r w:rsidR="008323A0">
        <w:rPr>
          <w:rFonts w:ascii="Times New Roman" w:hAnsi="Times New Roman" w:cs="Times New Roman"/>
        </w:rPr>
        <w:t>SI 2018/597, para.2 (</w:t>
      </w:r>
      <w:r w:rsidR="008323A0" w:rsidRPr="00FB1292">
        <w:rPr>
          <w:rFonts w:ascii="Times New Roman" w:hAnsi="Times New Roman" w:cs="Times New Roman"/>
          <w:i/>
          <w:iCs/>
        </w:rPr>
        <w:t>emphasis supplied</w:t>
      </w:r>
      <w:r w:rsidR="008323A0">
        <w:rPr>
          <w:rFonts w:ascii="Times New Roman" w:hAnsi="Times New Roman" w:cs="Times New Roman"/>
        </w:rPr>
        <w:t>).</w:t>
      </w:r>
      <w:r w:rsidRPr="00C1714A">
        <w:rPr>
          <w:rFonts w:ascii="Times New Roman" w:hAnsi="Times New Roman" w:cs="Times New Roman"/>
        </w:rPr>
        <w:t xml:space="preserve"> </w:t>
      </w:r>
    </w:p>
  </w:footnote>
  <w:footnote w:id="10">
    <w:p w:rsidR="00A122A7" w:rsidRPr="00C1714A" w:rsidRDefault="00A122A7" w:rsidP="00C1714A">
      <w:pPr>
        <w:pStyle w:val="FootnoteText"/>
        <w:spacing w:line="480" w:lineRule="auto"/>
        <w:rPr>
          <w:rFonts w:ascii="Times New Roman" w:hAnsi="Times New Roman" w:cs="Times New Roman"/>
        </w:rPr>
      </w:pPr>
      <w:r w:rsidRPr="00C1714A">
        <w:rPr>
          <w:rStyle w:val="FootnoteReference"/>
          <w:rFonts w:ascii="Times New Roman" w:hAnsi="Times New Roman" w:cs="Times New Roman"/>
        </w:rPr>
        <w:footnoteRef/>
      </w:r>
      <w:r w:rsidRPr="00C1714A">
        <w:rPr>
          <w:rFonts w:ascii="Times New Roman" w:hAnsi="Times New Roman" w:cs="Times New Roman"/>
        </w:rPr>
        <w:t xml:space="preserve"> Paragraph 14, Directive (EU) 2016/943</w:t>
      </w:r>
      <w:r w:rsidR="00835F22">
        <w:rPr>
          <w:rFonts w:ascii="Times New Roman" w:hAnsi="Times New Roman" w:cs="Times New Roman"/>
        </w:rPr>
        <w:t>.</w:t>
      </w:r>
    </w:p>
  </w:footnote>
  <w:footnote w:id="11">
    <w:p w:rsidR="00A122A7" w:rsidRPr="00C1714A" w:rsidRDefault="00A122A7" w:rsidP="00C1714A">
      <w:pPr>
        <w:pStyle w:val="FootnoteText"/>
        <w:spacing w:line="480" w:lineRule="auto"/>
        <w:rPr>
          <w:rFonts w:ascii="Times New Roman" w:hAnsi="Times New Roman" w:cs="Times New Roman"/>
        </w:rPr>
      </w:pPr>
      <w:r w:rsidRPr="00C1714A">
        <w:rPr>
          <w:rStyle w:val="FootnoteReference"/>
          <w:rFonts w:ascii="Times New Roman" w:hAnsi="Times New Roman" w:cs="Times New Roman"/>
        </w:rPr>
        <w:footnoteRef/>
      </w:r>
      <w:r w:rsidRPr="00C1714A">
        <w:rPr>
          <w:rFonts w:ascii="Times New Roman" w:hAnsi="Times New Roman" w:cs="Times New Roman"/>
        </w:rPr>
        <w:t xml:space="preserve"> The </w:t>
      </w:r>
      <w:r w:rsidR="006E213B">
        <w:rPr>
          <w:rFonts w:ascii="Times New Roman" w:hAnsi="Times New Roman" w:cs="Times New Roman"/>
        </w:rPr>
        <w:t>retrospective analysis</w:t>
      </w:r>
      <w:r w:rsidRPr="00C1714A">
        <w:rPr>
          <w:rFonts w:ascii="Times New Roman" w:hAnsi="Times New Roman" w:cs="Times New Roman"/>
        </w:rPr>
        <w:t xml:space="preserve"> of a product to understand its (hidden) functional aspects and underlying ideas</w:t>
      </w:r>
      <w:r w:rsidR="00FB1292">
        <w:rPr>
          <w:rFonts w:ascii="Times New Roman" w:hAnsi="Times New Roman" w:cs="Times New Roman"/>
        </w:rPr>
        <w:t>.</w:t>
      </w:r>
    </w:p>
  </w:footnote>
  <w:footnote w:id="12">
    <w:p w:rsidR="005D5C29" w:rsidRPr="005D5C29" w:rsidRDefault="005D5C29" w:rsidP="005D5C29">
      <w:pPr>
        <w:pStyle w:val="FootnoteText"/>
        <w:spacing w:line="480" w:lineRule="auto"/>
        <w:rPr>
          <w:rFonts w:ascii="Times New Roman" w:hAnsi="Times New Roman" w:cs="Times New Roman"/>
        </w:rPr>
      </w:pPr>
      <w:r w:rsidRPr="005D5C29">
        <w:rPr>
          <w:rStyle w:val="FootnoteReference"/>
          <w:rFonts w:ascii="Times New Roman" w:hAnsi="Times New Roman" w:cs="Times New Roman"/>
        </w:rPr>
        <w:footnoteRef/>
      </w:r>
      <w:r w:rsidRPr="005D5C29">
        <w:rPr>
          <w:rFonts w:ascii="Times New Roman" w:hAnsi="Times New Roman" w:cs="Times New Roman"/>
        </w:rPr>
        <w:t xml:space="preserve"> </w:t>
      </w:r>
      <w:r w:rsidR="00235900">
        <w:rPr>
          <w:rFonts w:ascii="Times New Roman" w:hAnsi="Times New Roman" w:cs="Times New Roman"/>
        </w:rPr>
        <w:t>Op. cit. n.</w:t>
      </w:r>
      <w:r w:rsidR="00BA6B46">
        <w:rPr>
          <w:rFonts w:ascii="Times New Roman" w:hAnsi="Times New Roman" w:cs="Times New Roman"/>
        </w:rPr>
        <w:t>5</w:t>
      </w:r>
      <w:r w:rsidR="00835F22">
        <w:rPr>
          <w:rFonts w:ascii="Times New Roman" w:hAnsi="Times New Roman" w:cs="Times New Roman"/>
        </w:rPr>
        <w:t>.</w:t>
      </w:r>
    </w:p>
  </w:footnote>
  <w:footnote w:id="13">
    <w:p w:rsidR="00A122A7" w:rsidRPr="00C1714A" w:rsidRDefault="00A122A7" w:rsidP="00155FE5">
      <w:pPr>
        <w:pStyle w:val="FootnoteText"/>
        <w:spacing w:line="480" w:lineRule="auto"/>
        <w:rPr>
          <w:rFonts w:ascii="Times New Roman" w:hAnsi="Times New Roman" w:cs="Times New Roman"/>
        </w:rPr>
      </w:pPr>
      <w:r w:rsidRPr="00C1714A">
        <w:rPr>
          <w:rStyle w:val="FootnoteReference"/>
          <w:rFonts w:ascii="Times New Roman" w:hAnsi="Times New Roman" w:cs="Times New Roman"/>
        </w:rPr>
        <w:footnoteRef/>
      </w:r>
      <w:r w:rsidRPr="00C1714A">
        <w:rPr>
          <w:rFonts w:ascii="Times New Roman" w:hAnsi="Times New Roman" w:cs="Times New Roman"/>
        </w:rPr>
        <w:t xml:space="preserve"> Op. cit. n.10</w:t>
      </w:r>
      <w:r w:rsidR="00835F22">
        <w:rPr>
          <w:rFonts w:ascii="Times New Roman" w:hAnsi="Times New Roman" w:cs="Times New Roman"/>
        </w:rPr>
        <w:t>.</w:t>
      </w:r>
      <w:r w:rsidRPr="00C1714A">
        <w:rPr>
          <w:rFonts w:ascii="Times New Roman" w:hAnsi="Times New Roman" w:cs="Times New Roman"/>
        </w:rPr>
        <w:t xml:space="preserve"> </w:t>
      </w:r>
    </w:p>
  </w:footnote>
  <w:footnote w:id="14">
    <w:p w:rsidR="00A122A7" w:rsidRPr="00C1714A" w:rsidRDefault="00A122A7" w:rsidP="00C34EBC">
      <w:pPr>
        <w:spacing w:line="480" w:lineRule="auto"/>
        <w:rPr>
          <w:rFonts w:ascii="Times New Roman" w:eastAsia="Times New Roman" w:hAnsi="Times New Roman" w:cs="Times New Roman"/>
          <w:sz w:val="20"/>
          <w:szCs w:val="20"/>
          <w:lang w:eastAsia="en-GB"/>
        </w:rPr>
      </w:pPr>
      <w:r w:rsidRPr="00C1714A">
        <w:rPr>
          <w:rStyle w:val="FootnoteReference"/>
          <w:rFonts w:ascii="Times New Roman" w:hAnsi="Times New Roman" w:cs="Times New Roman"/>
          <w:sz w:val="20"/>
          <w:szCs w:val="20"/>
        </w:rPr>
        <w:footnoteRef/>
      </w:r>
      <w:r w:rsidRPr="00C1714A">
        <w:rPr>
          <w:rFonts w:ascii="Times New Roman" w:hAnsi="Times New Roman" w:cs="Times New Roman"/>
          <w:sz w:val="20"/>
          <w:szCs w:val="20"/>
        </w:rPr>
        <w:t xml:space="preserve"> </w:t>
      </w:r>
      <w:r w:rsidRPr="00C1714A">
        <w:rPr>
          <w:rFonts w:ascii="Times New Roman" w:eastAsia="Times New Roman" w:hAnsi="Times New Roman" w:cs="Times New Roman"/>
          <w:color w:val="000000"/>
          <w:sz w:val="20"/>
          <w:szCs w:val="20"/>
          <w:lang w:eastAsia="en-GB"/>
        </w:rPr>
        <w:t xml:space="preserve">UNCTAD-ICTSD, Resource Book on TRIPS and Development (Cambridge University Press 2005) </w:t>
      </w:r>
      <w:r w:rsidRPr="00C1714A">
        <w:rPr>
          <w:rFonts w:ascii="Times New Roman" w:hAnsi="Times New Roman" w:cs="Times New Roman"/>
          <w:sz w:val="20"/>
          <w:szCs w:val="20"/>
        </w:rPr>
        <w:t>at 529</w:t>
      </w:r>
      <w:r w:rsidR="00835F22">
        <w:rPr>
          <w:rFonts w:ascii="Times New Roman" w:hAnsi="Times New Roman" w:cs="Times New Roman"/>
          <w:sz w:val="20"/>
          <w:szCs w:val="20"/>
        </w:rPr>
        <w:t>.</w:t>
      </w:r>
    </w:p>
  </w:footnote>
  <w:footnote w:id="15">
    <w:p w:rsidR="00A122A7" w:rsidRPr="00C1714A" w:rsidRDefault="00A122A7" w:rsidP="00CF02C6">
      <w:pPr>
        <w:pStyle w:val="FootnoteText"/>
        <w:spacing w:line="480" w:lineRule="auto"/>
        <w:rPr>
          <w:rFonts w:ascii="Times New Roman" w:hAnsi="Times New Roman" w:cs="Times New Roman"/>
        </w:rPr>
      </w:pPr>
      <w:r w:rsidRPr="00C1714A">
        <w:rPr>
          <w:rStyle w:val="FootnoteReference"/>
          <w:rFonts w:ascii="Times New Roman" w:hAnsi="Times New Roman" w:cs="Times New Roman"/>
        </w:rPr>
        <w:footnoteRef/>
      </w:r>
      <w:r w:rsidRPr="00C1714A">
        <w:rPr>
          <w:rFonts w:ascii="Times New Roman" w:hAnsi="Times New Roman" w:cs="Times New Roman"/>
        </w:rPr>
        <w:t xml:space="preserve"> Ibid, at 521</w:t>
      </w:r>
      <w:r w:rsidR="00835F22">
        <w:rPr>
          <w:rFonts w:ascii="Times New Roman" w:hAnsi="Times New Roman" w:cs="Times New Roman"/>
        </w:rPr>
        <w:t>.</w:t>
      </w:r>
    </w:p>
  </w:footnote>
  <w:footnote w:id="16">
    <w:p w:rsidR="000D5272" w:rsidRPr="00FF64D6" w:rsidRDefault="000D5272" w:rsidP="004170C8">
      <w:pPr>
        <w:pStyle w:val="FootnoteText"/>
        <w:spacing w:line="480" w:lineRule="auto"/>
        <w:rPr>
          <w:rFonts w:ascii="Times New Roman" w:hAnsi="Times New Roman" w:cs="Times New Roman"/>
        </w:rPr>
      </w:pPr>
      <w:r w:rsidRPr="00FF64D6">
        <w:rPr>
          <w:rStyle w:val="FootnoteReference"/>
          <w:rFonts w:ascii="Times New Roman" w:hAnsi="Times New Roman" w:cs="Times New Roman"/>
        </w:rPr>
        <w:footnoteRef/>
      </w:r>
      <w:r w:rsidRPr="00FF64D6">
        <w:rPr>
          <w:rFonts w:ascii="Times New Roman" w:hAnsi="Times New Roman" w:cs="Times New Roman"/>
        </w:rPr>
        <w:t xml:space="preserve"> </w:t>
      </w:r>
      <w:r w:rsidR="00EE5ED4" w:rsidRPr="00FF64D6">
        <w:rPr>
          <w:rFonts w:ascii="Times New Roman" w:eastAsia="Times New Roman" w:hAnsi="Times New Roman" w:cs="Times New Roman"/>
          <w:i/>
          <w:iCs/>
          <w:color w:val="000000"/>
          <w:lang w:eastAsia="en-GB"/>
        </w:rPr>
        <w:t xml:space="preserve">Opus Fund </w:t>
      </w:r>
      <w:proofErr w:type="spellStart"/>
      <w:r w:rsidR="00EE5ED4" w:rsidRPr="00FF64D6">
        <w:rPr>
          <w:rFonts w:ascii="Times New Roman" w:eastAsia="Times New Roman" w:hAnsi="Times New Roman" w:cs="Times New Roman"/>
          <w:i/>
          <w:iCs/>
          <w:color w:val="000000"/>
          <w:lang w:eastAsia="en-GB"/>
        </w:rPr>
        <w:t>Servs</w:t>
      </w:r>
      <w:proofErr w:type="spellEnd"/>
      <w:r w:rsidR="00EE5ED4" w:rsidRPr="00FF64D6">
        <w:rPr>
          <w:rFonts w:ascii="Times New Roman" w:eastAsia="Times New Roman" w:hAnsi="Times New Roman" w:cs="Times New Roman"/>
          <w:i/>
          <w:iCs/>
          <w:color w:val="000000"/>
          <w:lang w:eastAsia="en-GB"/>
        </w:rPr>
        <w:t xml:space="preserve">. (USA) LLC. v Theorem Fund </w:t>
      </w:r>
      <w:proofErr w:type="spellStart"/>
      <w:r w:rsidR="00EE5ED4" w:rsidRPr="00FF64D6">
        <w:rPr>
          <w:rFonts w:ascii="Times New Roman" w:eastAsia="Times New Roman" w:hAnsi="Times New Roman" w:cs="Times New Roman"/>
          <w:i/>
          <w:iCs/>
          <w:color w:val="000000"/>
          <w:lang w:eastAsia="en-GB"/>
        </w:rPr>
        <w:t>Servs</w:t>
      </w:r>
      <w:proofErr w:type="spellEnd"/>
      <w:r w:rsidR="00EE5ED4" w:rsidRPr="00FF64D6">
        <w:rPr>
          <w:rFonts w:ascii="Times New Roman" w:eastAsia="Times New Roman" w:hAnsi="Times New Roman" w:cs="Times New Roman"/>
          <w:i/>
          <w:iCs/>
          <w:color w:val="000000"/>
          <w:lang w:eastAsia="en-GB"/>
        </w:rPr>
        <w:t>. LLC.</w:t>
      </w:r>
      <w:r w:rsidR="00EE5ED4">
        <w:rPr>
          <w:rFonts w:ascii="Times New Roman" w:eastAsia="Times New Roman" w:hAnsi="Times New Roman" w:cs="Times New Roman"/>
          <w:color w:val="000000"/>
          <w:lang w:eastAsia="en-GB"/>
        </w:rPr>
        <w:t>,</w:t>
      </w:r>
      <w:r w:rsidR="00EE5ED4" w:rsidRPr="00FF64D6">
        <w:rPr>
          <w:rFonts w:ascii="Times New Roman" w:eastAsia="Times New Roman" w:hAnsi="Times New Roman" w:cs="Times New Roman"/>
          <w:color w:val="000000"/>
          <w:lang w:eastAsia="en-GB"/>
        </w:rPr>
        <w:t xml:space="preserve"> No. 17-cv-923, 2018, WL 1156246 at 5 (N.D. Ill. Mar </w:t>
      </w:r>
      <w:proofErr w:type="gramStart"/>
      <w:r w:rsidR="00EE5ED4" w:rsidRPr="00FF64D6">
        <w:rPr>
          <w:rFonts w:ascii="Times New Roman" w:eastAsia="Times New Roman" w:hAnsi="Times New Roman" w:cs="Times New Roman"/>
          <w:color w:val="000000"/>
          <w:lang w:eastAsia="en-GB"/>
        </w:rPr>
        <w:t>5</w:t>
      </w:r>
      <w:proofErr w:type="gramEnd"/>
      <w:r w:rsidR="00EE5ED4" w:rsidRPr="00FF64D6">
        <w:rPr>
          <w:rFonts w:ascii="Times New Roman" w:eastAsia="Times New Roman" w:hAnsi="Times New Roman" w:cs="Times New Roman"/>
          <w:color w:val="000000"/>
          <w:lang w:eastAsia="en-GB"/>
        </w:rPr>
        <w:t xml:space="preserve"> 2018)</w:t>
      </w:r>
      <w:r>
        <w:rPr>
          <w:rFonts w:ascii="Times New Roman" w:hAnsi="Times New Roman" w:cs="Times New Roman"/>
        </w:rPr>
        <w:t>.</w:t>
      </w:r>
    </w:p>
  </w:footnote>
  <w:footnote w:id="17">
    <w:p w:rsidR="000D5272" w:rsidRPr="00FF64D6" w:rsidRDefault="000D5272" w:rsidP="000D5272">
      <w:pPr>
        <w:pStyle w:val="FootnoteText"/>
        <w:spacing w:line="480" w:lineRule="auto"/>
        <w:rPr>
          <w:rFonts w:ascii="Times New Roman" w:hAnsi="Times New Roman" w:cs="Times New Roman"/>
        </w:rPr>
      </w:pPr>
      <w:r w:rsidRPr="00FF64D6">
        <w:rPr>
          <w:rStyle w:val="FootnoteReference"/>
          <w:rFonts w:ascii="Times New Roman" w:hAnsi="Times New Roman" w:cs="Times New Roman"/>
        </w:rPr>
        <w:footnoteRef/>
      </w:r>
      <w:r w:rsidRPr="00FF64D6">
        <w:rPr>
          <w:rFonts w:ascii="Times New Roman" w:hAnsi="Times New Roman" w:cs="Times New Roman"/>
        </w:rPr>
        <w:t xml:space="preserve"> Ibid, at 6</w:t>
      </w:r>
      <w:r>
        <w:rPr>
          <w:rFonts w:ascii="Times New Roman" w:hAnsi="Times New Roman" w:cs="Times New Roman"/>
        </w:rPr>
        <w:t>.</w:t>
      </w:r>
    </w:p>
  </w:footnote>
  <w:footnote w:id="18">
    <w:p w:rsidR="00797515" w:rsidRPr="00FF64D6" w:rsidRDefault="00797515" w:rsidP="00797515">
      <w:pPr>
        <w:spacing w:line="480" w:lineRule="auto"/>
        <w:rPr>
          <w:rFonts w:ascii="Times New Roman" w:eastAsia="Malgun Gothic" w:hAnsi="Times New Roman" w:cs="Times New Roman"/>
          <w:sz w:val="20"/>
          <w:szCs w:val="20"/>
        </w:rPr>
      </w:pPr>
      <w:r w:rsidRPr="00FF64D6">
        <w:rPr>
          <w:rStyle w:val="FootnoteReference"/>
          <w:rFonts w:ascii="Times New Roman" w:hAnsi="Times New Roman" w:cs="Times New Roman"/>
          <w:sz w:val="20"/>
          <w:szCs w:val="20"/>
        </w:rPr>
        <w:footnoteRef/>
      </w:r>
      <w:r w:rsidRPr="00FF64D6">
        <w:rPr>
          <w:rFonts w:ascii="Times New Roman" w:hAnsi="Times New Roman" w:cs="Times New Roman"/>
          <w:sz w:val="20"/>
          <w:szCs w:val="20"/>
        </w:rPr>
        <w:t xml:space="preserve"> </w:t>
      </w:r>
      <w:r w:rsidRPr="00FF64D6">
        <w:rPr>
          <w:rFonts w:ascii="Times New Roman" w:eastAsia="Malgun Gothic" w:hAnsi="Times New Roman" w:cs="Times New Roman"/>
          <w:i/>
          <w:iCs/>
          <w:sz w:val="20"/>
          <w:szCs w:val="20"/>
        </w:rPr>
        <w:t>OTR Wheel Engineering Inc. v West Worldwide Services Inc.</w:t>
      </w:r>
      <w:r>
        <w:rPr>
          <w:rFonts w:ascii="Times New Roman" w:eastAsia="Malgun Gothic" w:hAnsi="Times New Roman" w:cs="Times New Roman"/>
          <w:sz w:val="20"/>
          <w:szCs w:val="20"/>
        </w:rPr>
        <w:t>,</w:t>
      </w:r>
      <w:r w:rsidRPr="00FF64D6">
        <w:rPr>
          <w:rFonts w:ascii="Times New Roman" w:eastAsia="Malgun Gothic" w:hAnsi="Times New Roman" w:cs="Times New Roman"/>
          <w:i/>
          <w:iCs/>
          <w:sz w:val="20"/>
          <w:szCs w:val="20"/>
        </w:rPr>
        <w:t xml:space="preserve"> </w:t>
      </w:r>
      <w:r w:rsidRPr="00FF64D6">
        <w:rPr>
          <w:rFonts w:ascii="Times New Roman" w:eastAsia="Malgun Gothic" w:hAnsi="Times New Roman" w:cs="Times New Roman"/>
          <w:sz w:val="20"/>
          <w:szCs w:val="20"/>
        </w:rPr>
        <w:t>No. cv-14-085-LRS (E.D. Wash. Nov 30</w:t>
      </w:r>
      <w:r>
        <w:rPr>
          <w:rFonts w:ascii="Times New Roman" w:eastAsia="Malgun Gothic" w:hAnsi="Times New Roman" w:cs="Times New Roman"/>
          <w:sz w:val="20"/>
          <w:szCs w:val="20"/>
        </w:rPr>
        <w:t>th</w:t>
      </w:r>
      <w:proofErr w:type="gramStart"/>
      <w:r w:rsidRPr="00FF64D6">
        <w:rPr>
          <w:rFonts w:ascii="Times New Roman" w:eastAsia="Malgun Gothic" w:hAnsi="Times New Roman" w:cs="Times New Roman"/>
          <w:sz w:val="20"/>
          <w:szCs w:val="20"/>
        </w:rPr>
        <w:t xml:space="preserve"> 2015</w:t>
      </w:r>
      <w:proofErr w:type="gramEnd"/>
      <w:r w:rsidRPr="00FF64D6">
        <w:rPr>
          <w:rFonts w:ascii="Times New Roman" w:eastAsia="Malgun Gothic" w:hAnsi="Times New Roman" w:cs="Times New Roman"/>
          <w:sz w:val="20"/>
          <w:szCs w:val="20"/>
        </w:rPr>
        <w:t>)</w:t>
      </w:r>
      <w:r>
        <w:rPr>
          <w:rFonts w:ascii="Times New Roman" w:eastAsia="Malgun Gothic" w:hAnsi="Times New Roman" w:cs="Times New Roman"/>
          <w:sz w:val="20"/>
          <w:szCs w:val="20"/>
        </w:rPr>
        <w:t>.</w:t>
      </w:r>
    </w:p>
  </w:footnote>
  <w:footnote w:id="19">
    <w:p w:rsidR="00797515" w:rsidRPr="00511535" w:rsidRDefault="00797515" w:rsidP="00797515">
      <w:pPr>
        <w:spacing w:line="480" w:lineRule="auto"/>
        <w:rPr>
          <w:rFonts w:ascii="Times New Roman" w:eastAsia="Malgun Gothic" w:hAnsi="Times New Roman" w:cs="Times New Roman"/>
          <w:sz w:val="20"/>
          <w:szCs w:val="20"/>
        </w:rPr>
      </w:pPr>
      <w:r w:rsidRPr="00FF64D6">
        <w:rPr>
          <w:rStyle w:val="FootnoteReference"/>
          <w:rFonts w:ascii="Times New Roman" w:hAnsi="Times New Roman" w:cs="Times New Roman"/>
          <w:sz w:val="20"/>
          <w:szCs w:val="20"/>
        </w:rPr>
        <w:footnoteRef/>
      </w:r>
      <w:r w:rsidRPr="00FF64D6">
        <w:rPr>
          <w:rFonts w:ascii="Times New Roman" w:hAnsi="Times New Roman" w:cs="Times New Roman"/>
          <w:sz w:val="20"/>
          <w:szCs w:val="20"/>
        </w:rPr>
        <w:t xml:space="preserve"> </w:t>
      </w:r>
      <w:r w:rsidRPr="00FF64D6">
        <w:rPr>
          <w:rFonts w:ascii="Times New Roman" w:eastAsia="Malgun Gothic" w:hAnsi="Times New Roman" w:cs="Times New Roman"/>
          <w:i/>
          <w:iCs/>
          <w:sz w:val="20"/>
          <w:szCs w:val="20"/>
        </w:rPr>
        <w:t xml:space="preserve">Call One v </w:t>
      </w:r>
      <w:proofErr w:type="spellStart"/>
      <w:r w:rsidRPr="00FF64D6">
        <w:rPr>
          <w:rFonts w:ascii="Times New Roman" w:eastAsia="Malgun Gothic" w:hAnsi="Times New Roman" w:cs="Times New Roman"/>
          <w:i/>
          <w:iCs/>
          <w:sz w:val="20"/>
          <w:szCs w:val="20"/>
        </w:rPr>
        <w:t>Anzine</w:t>
      </w:r>
      <w:proofErr w:type="spellEnd"/>
      <w:r w:rsidRPr="00FF64D6">
        <w:rPr>
          <w:rFonts w:ascii="Times New Roman" w:eastAsia="Malgun Gothic" w:hAnsi="Times New Roman" w:cs="Times New Roman"/>
          <w:i/>
          <w:iCs/>
          <w:sz w:val="20"/>
          <w:szCs w:val="20"/>
        </w:rPr>
        <w:t xml:space="preserve">, </w:t>
      </w:r>
      <w:r w:rsidRPr="00FF64D6">
        <w:rPr>
          <w:rFonts w:ascii="Times New Roman" w:eastAsia="Malgun Gothic" w:hAnsi="Times New Roman" w:cs="Times New Roman"/>
          <w:sz w:val="20"/>
          <w:szCs w:val="20"/>
        </w:rPr>
        <w:t>2018 WL 2735089 (N.D. IL, 2018)</w:t>
      </w:r>
      <w:r>
        <w:rPr>
          <w:rFonts w:ascii="Times New Roman" w:eastAsia="Malgun Gothic" w:hAnsi="Times New Roman" w:cs="Times New Roman"/>
          <w:sz w:val="20"/>
          <w:szCs w:val="20"/>
        </w:rPr>
        <w:t xml:space="preserve"> at 9.</w:t>
      </w:r>
    </w:p>
  </w:footnote>
  <w:footnote w:id="20">
    <w:p w:rsidR="0046113D" w:rsidRPr="00F245B6" w:rsidRDefault="0046113D" w:rsidP="0046113D">
      <w:pPr>
        <w:spacing w:line="480" w:lineRule="auto"/>
        <w:rPr>
          <w:rFonts w:ascii="Times New Roman" w:eastAsia="Times New Roman" w:hAnsi="Times New Roman" w:cs="Times New Roman"/>
          <w:sz w:val="20"/>
          <w:szCs w:val="20"/>
          <w:lang w:eastAsia="en-GB"/>
        </w:rPr>
      </w:pPr>
      <w:r w:rsidRPr="00FF64D6">
        <w:rPr>
          <w:rStyle w:val="FootnoteReference"/>
          <w:rFonts w:ascii="Times New Roman" w:hAnsi="Times New Roman" w:cs="Times New Roman"/>
          <w:sz w:val="20"/>
          <w:szCs w:val="20"/>
        </w:rPr>
        <w:footnoteRef/>
      </w:r>
      <w:r w:rsidRPr="00FF64D6">
        <w:rPr>
          <w:rFonts w:ascii="Times New Roman" w:hAnsi="Times New Roman" w:cs="Times New Roman"/>
          <w:sz w:val="20"/>
          <w:szCs w:val="20"/>
        </w:rPr>
        <w:t xml:space="preserve"> </w:t>
      </w:r>
      <w:r w:rsidRPr="00F245B6">
        <w:rPr>
          <w:rFonts w:ascii="Times New Roman" w:eastAsia="Times New Roman" w:hAnsi="Times New Roman" w:cs="Times New Roman"/>
          <w:i/>
          <w:iCs/>
          <w:color w:val="212529"/>
          <w:sz w:val="20"/>
          <w:szCs w:val="20"/>
          <w:shd w:val="clear" w:color="auto" w:fill="FFFFFF"/>
          <w:lang w:eastAsia="en-GB"/>
        </w:rPr>
        <w:t>Convolve, Inc. v. Compaq Computer Corp.</w:t>
      </w:r>
      <w:r w:rsidRPr="00F245B6">
        <w:rPr>
          <w:rFonts w:ascii="Times New Roman" w:eastAsia="Times New Roman" w:hAnsi="Times New Roman" w:cs="Times New Roman"/>
          <w:color w:val="212529"/>
          <w:sz w:val="20"/>
          <w:szCs w:val="20"/>
          <w:shd w:val="clear" w:color="auto" w:fill="FFFFFF"/>
          <w:lang w:eastAsia="en-GB"/>
        </w:rPr>
        <w:t>, 812 F.3d 1313</w:t>
      </w:r>
      <w:r>
        <w:rPr>
          <w:rFonts w:ascii="Times New Roman" w:eastAsia="Times New Roman" w:hAnsi="Times New Roman" w:cs="Times New Roman"/>
          <w:sz w:val="20"/>
          <w:szCs w:val="20"/>
          <w:lang w:eastAsia="en-GB"/>
        </w:rPr>
        <w:t xml:space="preserve"> (Fed. Cir. 2016).</w:t>
      </w:r>
    </w:p>
  </w:footnote>
  <w:footnote w:id="21">
    <w:p w:rsidR="0046113D" w:rsidRDefault="0046113D" w:rsidP="0046113D">
      <w:pPr>
        <w:pStyle w:val="FootnoteText"/>
        <w:spacing w:line="480" w:lineRule="auto"/>
      </w:pPr>
      <w:r>
        <w:rPr>
          <w:rStyle w:val="FootnoteReference"/>
        </w:rPr>
        <w:footnoteRef/>
      </w:r>
      <w:r>
        <w:t xml:space="preserve"> </w:t>
      </w:r>
      <w:r w:rsidRPr="00FF64D6">
        <w:rPr>
          <w:rFonts w:ascii="Times New Roman" w:eastAsia="Malgun Gothic" w:hAnsi="Times New Roman" w:cs="Times New Roman"/>
          <w:i/>
          <w:iCs/>
        </w:rPr>
        <w:t>Mintel Int</w:t>
      </w:r>
      <w:r>
        <w:rPr>
          <w:rFonts w:ascii="Times New Roman" w:eastAsia="Malgun Gothic" w:hAnsi="Times New Roman" w:cs="Times New Roman"/>
          <w:i/>
          <w:iCs/>
        </w:rPr>
        <w:t>ernational Group</w:t>
      </w:r>
      <w:r w:rsidRPr="00FF64D6">
        <w:rPr>
          <w:rFonts w:ascii="Times New Roman" w:eastAsia="Malgun Gothic" w:hAnsi="Times New Roman" w:cs="Times New Roman"/>
          <w:i/>
          <w:iCs/>
        </w:rPr>
        <w:t xml:space="preserve"> Ltd v </w:t>
      </w:r>
      <w:proofErr w:type="spellStart"/>
      <w:r w:rsidRPr="00FF64D6">
        <w:rPr>
          <w:rFonts w:ascii="Times New Roman" w:eastAsia="Malgun Gothic" w:hAnsi="Times New Roman" w:cs="Times New Roman"/>
          <w:i/>
          <w:iCs/>
        </w:rPr>
        <w:t>Neergheen</w:t>
      </w:r>
      <w:proofErr w:type="spellEnd"/>
      <w:r w:rsidRPr="00FF64D6">
        <w:rPr>
          <w:rFonts w:ascii="Times New Roman" w:eastAsia="Malgun Gothic" w:hAnsi="Times New Roman" w:cs="Times New Roman"/>
          <w:i/>
          <w:iCs/>
        </w:rPr>
        <w:t xml:space="preserve"> </w:t>
      </w:r>
      <w:r w:rsidRPr="00FF64D6">
        <w:rPr>
          <w:rFonts w:ascii="Times New Roman" w:eastAsia="Malgun Gothic" w:hAnsi="Times New Roman" w:cs="Times New Roman"/>
        </w:rPr>
        <w:t>No. 8-cv-3939, 2010 WL 145786 (N.D. Ill. Jan</w:t>
      </w:r>
      <w:r>
        <w:rPr>
          <w:rFonts w:ascii="Times New Roman" w:eastAsia="Malgun Gothic" w:hAnsi="Times New Roman" w:cs="Times New Roman"/>
        </w:rPr>
        <w:t xml:space="preserve"> </w:t>
      </w:r>
      <w:proofErr w:type="gramStart"/>
      <w:r w:rsidRPr="00FF64D6">
        <w:rPr>
          <w:rFonts w:ascii="Times New Roman" w:eastAsia="Malgun Gothic" w:hAnsi="Times New Roman" w:cs="Times New Roman"/>
        </w:rPr>
        <w:t>12</w:t>
      </w:r>
      <w:proofErr w:type="gramEnd"/>
      <w:r w:rsidRPr="00FF64D6">
        <w:rPr>
          <w:rFonts w:ascii="Times New Roman" w:eastAsia="Malgun Gothic" w:hAnsi="Times New Roman" w:cs="Times New Roman"/>
        </w:rPr>
        <w:t xml:space="preserve"> 2010)</w:t>
      </w:r>
      <w:r>
        <w:rPr>
          <w:rFonts w:ascii="Times New Roman" w:eastAsia="Malgun Gothic" w:hAnsi="Times New Roman" w:cs="Times New Roman"/>
        </w:rPr>
        <w:t>.</w:t>
      </w:r>
    </w:p>
  </w:footnote>
  <w:footnote w:id="22">
    <w:p w:rsidR="00702543" w:rsidRDefault="00702543" w:rsidP="00702543">
      <w:pPr>
        <w:pStyle w:val="FootnoteText"/>
        <w:spacing w:line="480" w:lineRule="auto"/>
      </w:pPr>
      <w:r>
        <w:rPr>
          <w:rStyle w:val="FootnoteReference"/>
        </w:rPr>
        <w:footnoteRef/>
      </w:r>
      <w:r>
        <w:t xml:space="preserve"> </w:t>
      </w:r>
      <w:r w:rsidRPr="00E65B37">
        <w:rPr>
          <w:rFonts w:ascii="Times New Roman" w:eastAsia="Malgun Gothic" w:hAnsi="Times New Roman" w:cs="Times New Roman"/>
          <w:i/>
          <w:iCs/>
        </w:rPr>
        <w:t xml:space="preserve">ISC-Bunker </w:t>
      </w:r>
      <w:proofErr w:type="spellStart"/>
      <w:r w:rsidRPr="00E65B37">
        <w:rPr>
          <w:rFonts w:ascii="Times New Roman" w:eastAsia="Malgun Gothic" w:hAnsi="Times New Roman" w:cs="Times New Roman"/>
          <w:i/>
          <w:iCs/>
        </w:rPr>
        <w:t>Ramo</w:t>
      </w:r>
      <w:proofErr w:type="spellEnd"/>
      <w:r w:rsidRPr="00E65B37">
        <w:rPr>
          <w:rFonts w:ascii="Times New Roman" w:eastAsia="Malgun Gothic" w:hAnsi="Times New Roman" w:cs="Times New Roman"/>
          <w:i/>
          <w:iCs/>
        </w:rPr>
        <w:t xml:space="preserve"> Corp. v </w:t>
      </w:r>
      <w:proofErr w:type="spellStart"/>
      <w:r w:rsidRPr="00E65B37">
        <w:rPr>
          <w:rFonts w:ascii="Times New Roman" w:eastAsia="Malgun Gothic" w:hAnsi="Times New Roman" w:cs="Times New Roman"/>
          <w:i/>
          <w:iCs/>
        </w:rPr>
        <w:t>Altech</w:t>
      </w:r>
      <w:proofErr w:type="spellEnd"/>
      <w:r w:rsidRPr="00E65B37">
        <w:rPr>
          <w:rFonts w:ascii="Times New Roman" w:eastAsia="Malgun Gothic" w:hAnsi="Times New Roman" w:cs="Times New Roman"/>
          <w:i/>
          <w:iCs/>
        </w:rPr>
        <w:t>, Inc.</w:t>
      </w:r>
      <w:r>
        <w:rPr>
          <w:rFonts w:ascii="Times New Roman" w:eastAsia="Malgun Gothic" w:hAnsi="Times New Roman" w:cs="Times New Roman"/>
        </w:rPr>
        <w:t>,</w:t>
      </w:r>
      <w:r w:rsidRPr="00E65B37">
        <w:rPr>
          <w:rFonts w:ascii="Times New Roman" w:eastAsia="Malgun Gothic" w:hAnsi="Times New Roman" w:cs="Times New Roman"/>
          <w:i/>
          <w:iCs/>
        </w:rPr>
        <w:t xml:space="preserve"> </w:t>
      </w:r>
      <w:r w:rsidRPr="00E65B37">
        <w:rPr>
          <w:rFonts w:ascii="Times New Roman" w:eastAsia="Malgun Gothic" w:hAnsi="Times New Roman" w:cs="Times New Roman"/>
        </w:rPr>
        <w:t>765 F. Supp.1310 (N.D. Ill. 1990)</w:t>
      </w:r>
      <w:r>
        <w:rPr>
          <w:rFonts w:ascii="Times New Roman" w:eastAsia="Malgun Gothic" w:hAnsi="Times New Roman" w:cs="Times New Roman"/>
        </w:rPr>
        <w:t>.</w:t>
      </w:r>
    </w:p>
  </w:footnote>
  <w:footnote w:id="23">
    <w:p w:rsidR="007F5B73" w:rsidRPr="007F5B73" w:rsidRDefault="007F5B73" w:rsidP="007F5B73">
      <w:pPr>
        <w:spacing w:line="480" w:lineRule="auto"/>
        <w:rPr>
          <w:rFonts w:ascii="Times New Roman" w:eastAsia="Times New Roman" w:hAnsi="Times New Roman" w:cs="Times New Roman"/>
          <w:sz w:val="20"/>
          <w:szCs w:val="20"/>
          <w:lang w:eastAsia="en-GB"/>
        </w:rPr>
      </w:pPr>
      <w:r w:rsidRPr="007F5B73">
        <w:rPr>
          <w:rStyle w:val="FootnoteReference"/>
          <w:rFonts w:ascii="Times New Roman" w:hAnsi="Times New Roman" w:cs="Times New Roman"/>
          <w:sz w:val="20"/>
          <w:szCs w:val="20"/>
        </w:rPr>
        <w:footnoteRef/>
      </w:r>
      <w:r w:rsidRPr="007F5B73">
        <w:rPr>
          <w:rFonts w:ascii="Times New Roman" w:hAnsi="Times New Roman" w:cs="Times New Roman"/>
          <w:sz w:val="20"/>
          <w:szCs w:val="20"/>
        </w:rPr>
        <w:t xml:space="preserve"> </w:t>
      </w:r>
      <w:r w:rsidRPr="00FF64D6">
        <w:rPr>
          <w:rFonts w:ascii="Times New Roman" w:eastAsia="Times New Roman" w:hAnsi="Times New Roman" w:cs="Times New Roman"/>
          <w:i/>
          <w:iCs/>
          <w:color w:val="000000"/>
          <w:sz w:val="20"/>
          <w:szCs w:val="20"/>
          <w:lang w:eastAsia="en-GB"/>
        </w:rPr>
        <w:t xml:space="preserve">Opus Fund </w:t>
      </w:r>
      <w:proofErr w:type="spellStart"/>
      <w:r w:rsidRPr="00FF64D6">
        <w:rPr>
          <w:rFonts w:ascii="Times New Roman" w:eastAsia="Times New Roman" w:hAnsi="Times New Roman" w:cs="Times New Roman"/>
          <w:i/>
          <w:iCs/>
          <w:color w:val="000000"/>
          <w:sz w:val="20"/>
          <w:szCs w:val="20"/>
          <w:lang w:eastAsia="en-GB"/>
        </w:rPr>
        <w:t>Servs</w:t>
      </w:r>
      <w:proofErr w:type="spellEnd"/>
      <w:r w:rsidRPr="00FF64D6">
        <w:rPr>
          <w:rFonts w:ascii="Times New Roman" w:eastAsia="Times New Roman" w:hAnsi="Times New Roman" w:cs="Times New Roman"/>
          <w:i/>
          <w:iCs/>
          <w:color w:val="000000"/>
          <w:sz w:val="20"/>
          <w:szCs w:val="20"/>
          <w:lang w:eastAsia="en-GB"/>
        </w:rPr>
        <w:t xml:space="preserve">. (USA) LLC. v Theorem Fund </w:t>
      </w:r>
      <w:proofErr w:type="spellStart"/>
      <w:r w:rsidRPr="00FF64D6">
        <w:rPr>
          <w:rFonts w:ascii="Times New Roman" w:eastAsia="Times New Roman" w:hAnsi="Times New Roman" w:cs="Times New Roman"/>
          <w:i/>
          <w:iCs/>
          <w:color w:val="000000"/>
          <w:sz w:val="20"/>
          <w:szCs w:val="20"/>
          <w:lang w:eastAsia="en-GB"/>
        </w:rPr>
        <w:t>Servs</w:t>
      </w:r>
      <w:proofErr w:type="spellEnd"/>
      <w:r w:rsidRPr="00FF64D6">
        <w:rPr>
          <w:rFonts w:ascii="Times New Roman" w:eastAsia="Times New Roman" w:hAnsi="Times New Roman" w:cs="Times New Roman"/>
          <w:i/>
          <w:iCs/>
          <w:color w:val="000000"/>
          <w:sz w:val="20"/>
          <w:szCs w:val="20"/>
          <w:lang w:eastAsia="en-GB"/>
        </w:rPr>
        <w:t>. LLC.</w:t>
      </w:r>
      <w:r>
        <w:rPr>
          <w:rFonts w:ascii="Times New Roman" w:eastAsia="Times New Roman" w:hAnsi="Times New Roman" w:cs="Times New Roman"/>
          <w:color w:val="000000"/>
          <w:sz w:val="20"/>
          <w:szCs w:val="20"/>
          <w:lang w:eastAsia="en-GB"/>
        </w:rPr>
        <w:t>,</w:t>
      </w:r>
      <w:r w:rsidRPr="00FF64D6">
        <w:rPr>
          <w:rFonts w:ascii="Times New Roman" w:eastAsia="Times New Roman" w:hAnsi="Times New Roman" w:cs="Times New Roman"/>
          <w:color w:val="000000"/>
          <w:sz w:val="20"/>
          <w:szCs w:val="20"/>
          <w:lang w:eastAsia="en-GB"/>
        </w:rPr>
        <w:t xml:space="preserve"> No. 17-cv-923, 2018, WL 1156246 at 5 (N.D. Ill. Mar </w:t>
      </w:r>
      <w:proofErr w:type="gramStart"/>
      <w:r w:rsidRPr="00FF64D6">
        <w:rPr>
          <w:rFonts w:ascii="Times New Roman" w:eastAsia="Times New Roman" w:hAnsi="Times New Roman" w:cs="Times New Roman"/>
          <w:color w:val="000000"/>
          <w:sz w:val="20"/>
          <w:szCs w:val="20"/>
          <w:lang w:eastAsia="en-GB"/>
        </w:rPr>
        <w:t>5</w:t>
      </w:r>
      <w:proofErr w:type="gramEnd"/>
      <w:r w:rsidRPr="00FF64D6">
        <w:rPr>
          <w:rFonts w:ascii="Times New Roman" w:eastAsia="Times New Roman" w:hAnsi="Times New Roman" w:cs="Times New Roman"/>
          <w:color w:val="000000"/>
          <w:sz w:val="20"/>
          <w:szCs w:val="20"/>
          <w:lang w:eastAsia="en-GB"/>
        </w:rPr>
        <w:t xml:space="preserve"> 2018)</w:t>
      </w:r>
      <w:r>
        <w:rPr>
          <w:rFonts w:ascii="Times New Roman" w:eastAsia="Times New Roman" w:hAnsi="Times New Roman" w:cs="Times New Roman"/>
          <w:color w:val="000000"/>
          <w:sz w:val="20"/>
          <w:szCs w:val="20"/>
          <w:lang w:eastAsia="en-GB"/>
        </w:rPr>
        <w:t>.</w:t>
      </w:r>
    </w:p>
  </w:footnote>
  <w:footnote w:id="24">
    <w:p w:rsidR="00797515" w:rsidRPr="00FF64D6" w:rsidRDefault="00797515" w:rsidP="00797515">
      <w:pPr>
        <w:spacing w:line="480" w:lineRule="auto"/>
        <w:rPr>
          <w:rFonts w:ascii="Times New Roman" w:eastAsia="Times New Roman" w:hAnsi="Times New Roman" w:cs="Times New Roman"/>
          <w:sz w:val="20"/>
          <w:szCs w:val="20"/>
          <w:lang w:eastAsia="en-GB"/>
        </w:rPr>
      </w:pPr>
      <w:r w:rsidRPr="00FF64D6">
        <w:rPr>
          <w:rStyle w:val="FootnoteReference"/>
          <w:rFonts w:ascii="Times New Roman" w:hAnsi="Times New Roman" w:cs="Times New Roman"/>
          <w:sz w:val="20"/>
          <w:szCs w:val="20"/>
        </w:rPr>
        <w:footnoteRef/>
      </w:r>
      <w:r w:rsidRPr="00FF64D6">
        <w:rPr>
          <w:rFonts w:ascii="Times New Roman" w:hAnsi="Times New Roman" w:cs="Times New Roman"/>
          <w:sz w:val="20"/>
          <w:szCs w:val="20"/>
        </w:rPr>
        <w:t xml:space="preserve"> </w:t>
      </w:r>
      <w:proofErr w:type="spellStart"/>
      <w:r w:rsidRPr="00FF64D6">
        <w:rPr>
          <w:rFonts w:ascii="Times New Roman" w:eastAsia="Times New Roman" w:hAnsi="Times New Roman" w:cs="Times New Roman"/>
          <w:i/>
          <w:iCs/>
          <w:color w:val="000000"/>
          <w:sz w:val="20"/>
          <w:szCs w:val="20"/>
          <w:lang w:eastAsia="en-GB"/>
        </w:rPr>
        <w:t>Arcor</w:t>
      </w:r>
      <w:proofErr w:type="spellEnd"/>
      <w:r w:rsidRPr="00FF64D6">
        <w:rPr>
          <w:rFonts w:ascii="Times New Roman" w:eastAsia="Times New Roman" w:hAnsi="Times New Roman" w:cs="Times New Roman"/>
          <w:i/>
          <w:iCs/>
          <w:color w:val="000000"/>
          <w:sz w:val="20"/>
          <w:szCs w:val="20"/>
          <w:lang w:eastAsia="en-GB"/>
        </w:rPr>
        <w:t xml:space="preserve"> Inc. v Haas</w:t>
      </w:r>
      <w:r w:rsidRPr="00FF64D6">
        <w:rPr>
          <w:rFonts w:ascii="Times New Roman" w:eastAsia="Times New Roman" w:hAnsi="Times New Roman" w:cs="Times New Roman"/>
          <w:color w:val="000000"/>
          <w:sz w:val="20"/>
          <w:szCs w:val="20"/>
          <w:lang w:eastAsia="en-GB"/>
        </w:rPr>
        <w:t>, 363, Ill. App. 3d, 396, 402-03, 842, N.E. 2d, 265, 271</w:t>
      </w:r>
      <w:r>
        <w:rPr>
          <w:rFonts w:ascii="Times New Roman" w:eastAsia="Times New Roman" w:hAnsi="Times New Roman" w:cs="Times New Roman"/>
          <w:color w:val="000000"/>
          <w:sz w:val="20"/>
          <w:szCs w:val="20"/>
          <w:lang w:eastAsia="en-GB"/>
        </w:rPr>
        <w:t xml:space="preserve"> </w:t>
      </w:r>
      <w:r w:rsidRPr="00FF64D6">
        <w:rPr>
          <w:rFonts w:ascii="Times New Roman" w:eastAsia="Times New Roman" w:hAnsi="Times New Roman" w:cs="Times New Roman"/>
          <w:color w:val="000000"/>
          <w:sz w:val="20"/>
          <w:szCs w:val="20"/>
          <w:lang w:eastAsia="en-GB"/>
        </w:rPr>
        <w:t>(1st Dist. 2005)</w:t>
      </w:r>
      <w:r>
        <w:rPr>
          <w:rFonts w:ascii="Times New Roman" w:eastAsia="Times New Roman" w:hAnsi="Times New Roman" w:cs="Times New Roman"/>
          <w:color w:val="000000"/>
          <w:sz w:val="20"/>
          <w:szCs w:val="20"/>
          <w:lang w:eastAsia="en-GB"/>
        </w:rPr>
        <w:t>.</w:t>
      </w:r>
    </w:p>
  </w:footnote>
  <w:footnote w:id="25">
    <w:p w:rsidR="00CA0F4B" w:rsidRPr="00FF64D6" w:rsidRDefault="00CA0F4B" w:rsidP="00CA0F4B">
      <w:pPr>
        <w:spacing w:line="480" w:lineRule="auto"/>
        <w:rPr>
          <w:rFonts w:ascii="Times New Roman" w:eastAsia="Malgun Gothic" w:hAnsi="Times New Roman" w:cs="Times New Roman"/>
          <w:sz w:val="20"/>
          <w:szCs w:val="20"/>
        </w:rPr>
      </w:pPr>
      <w:r w:rsidRPr="00FF64D6">
        <w:rPr>
          <w:rStyle w:val="FootnoteReference"/>
          <w:rFonts w:ascii="Times New Roman" w:hAnsi="Times New Roman" w:cs="Times New Roman"/>
          <w:sz w:val="20"/>
          <w:szCs w:val="20"/>
        </w:rPr>
        <w:footnoteRef/>
      </w:r>
      <w:r w:rsidRPr="00FF64D6">
        <w:rPr>
          <w:rFonts w:ascii="Times New Roman" w:hAnsi="Times New Roman" w:cs="Times New Roman"/>
          <w:sz w:val="20"/>
          <w:szCs w:val="20"/>
        </w:rPr>
        <w:t xml:space="preserve"> </w:t>
      </w:r>
      <w:r w:rsidRPr="00FF64D6">
        <w:rPr>
          <w:rFonts w:ascii="Times New Roman" w:eastAsia="Malgun Gothic" w:hAnsi="Times New Roman" w:cs="Times New Roman"/>
          <w:i/>
          <w:iCs/>
          <w:sz w:val="20"/>
          <w:szCs w:val="20"/>
        </w:rPr>
        <w:t>Gillis Associated Indus Inc. v Cari-All Inc.</w:t>
      </w:r>
      <w:r>
        <w:rPr>
          <w:rFonts w:ascii="Times New Roman" w:eastAsia="Malgun Gothic" w:hAnsi="Times New Roman" w:cs="Times New Roman"/>
          <w:sz w:val="20"/>
          <w:szCs w:val="20"/>
        </w:rPr>
        <w:t>,</w:t>
      </w:r>
      <w:r w:rsidRPr="00FF64D6">
        <w:rPr>
          <w:rFonts w:ascii="Times New Roman" w:eastAsia="Malgun Gothic" w:hAnsi="Times New Roman" w:cs="Times New Roman"/>
          <w:i/>
          <w:iCs/>
          <w:sz w:val="20"/>
          <w:szCs w:val="20"/>
        </w:rPr>
        <w:t xml:space="preserve"> </w:t>
      </w:r>
      <w:r w:rsidRPr="00FF64D6">
        <w:rPr>
          <w:rFonts w:ascii="Times New Roman" w:eastAsia="Malgun Gothic" w:hAnsi="Times New Roman" w:cs="Times New Roman"/>
          <w:sz w:val="20"/>
          <w:szCs w:val="20"/>
        </w:rPr>
        <w:t>206, Ill. App. 3d 184, 192, 564 N.E. 2d, 881, 886, (1</w:t>
      </w:r>
      <w:r w:rsidRPr="00FF64D6">
        <w:rPr>
          <w:rFonts w:ascii="Times New Roman" w:eastAsia="Malgun Gothic" w:hAnsi="Times New Roman" w:cs="Times New Roman"/>
          <w:sz w:val="20"/>
          <w:szCs w:val="20"/>
          <w:vertAlign w:val="superscript"/>
        </w:rPr>
        <w:t>st</w:t>
      </w:r>
      <w:r w:rsidRPr="00FF64D6">
        <w:rPr>
          <w:rFonts w:ascii="Times New Roman" w:eastAsia="Malgun Gothic" w:hAnsi="Times New Roman" w:cs="Times New Roman"/>
          <w:sz w:val="20"/>
          <w:szCs w:val="20"/>
        </w:rPr>
        <w:t xml:space="preserve"> Dist. 1990)</w:t>
      </w:r>
      <w:r>
        <w:rPr>
          <w:rFonts w:ascii="Times New Roman" w:eastAsia="Malgun Gothic" w:hAnsi="Times New Roman" w:cs="Times New Roman"/>
          <w:sz w:val="20"/>
          <w:szCs w:val="20"/>
        </w:rPr>
        <w:t>.</w:t>
      </w:r>
    </w:p>
  </w:footnote>
  <w:footnote w:id="26">
    <w:p w:rsidR="00797515" w:rsidRPr="00640EDC" w:rsidRDefault="00797515" w:rsidP="00797515">
      <w:pPr>
        <w:spacing w:line="480" w:lineRule="auto"/>
        <w:rPr>
          <w:rFonts w:ascii="Times New Roman" w:eastAsia="Malgun Gothic" w:hAnsi="Times New Roman" w:cs="Times New Roman"/>
          <w:sz w:val="20"/>
          <w:szCs w:val="20"/>
        </w:rPr>
      </w:pPr>
      <w:r w:rsidRPr="00640EDC">
        <w:rPr>
          <w:rStyle w:val="FootnoteReference"/>
          <w:rFonts w:ascii="Times New Roman" w:hAnsi="Times New Roman" w:cs="Times New Roman"/>
          <w:sz w:val="20"/>
          <w:szCs w:val="20"/>
        </w:rPr>
        <w:footnoteRef/>
      </w:r>
      <w:r w:rsidRPr="00640EDC">
        <w:rPr>
          <w:rFonts w:ascii="Times New Roman" w:hAnsi="Times New Roman" w:cs="Times New Roman"/>
          <w:sz w:val="20"/>
          <w:szCs w:val="20"/>
        </w:rPr>
        <w:t xml:space="preserve"> </w:t>
      </w:r>
      <w:r w:rsidRPr="00640EDC">
        <w:rPr>
          <w:rFonts w:ascii="Times New Roman" w:eastAsia="Malgun Gothic" w:hAnsi="Times New Roman" w:cs="Times New Roman"/>
          <w:i/>
          <w:iCs/>
          <w:sz w:val="20"/>
          <w:szCs w:val="20"/>
        </w:rPr>
        <w:t xml:space="preserve">CMBB LLC v Lockwood </w:t>
      </w:r>
      <w:proofErr w:type="spellStart"/>
      <w:r w:rsidRPr="00640EDC">
        <w:rPr>
          <w:rFonts w:ascii="Times New Roman" w:eastAsia="Malgun Gothic" w:hAnsi="Times New Roman" w:cs="Times New Roman"/>
          <w:i/>
          <w:iCs/>
          <w:sz w:val="20"/>
          <w:szCs w:val="20"/>
        </w:rPr>
        <w:t>Mfg</w:t>
      </w:r>
      <w:proofErr w:type="spellEnd"/>
      <w:r w:rsidRPr="00640EDC">
        <w:rPr>
          <w:rFonts w:ascii="Times New Roman" w:eastAsia="Malgun Gothic" w:hAnsi="Times New Roman" w:cs="Times New Roman"/>
          <w:i/>
          <w:iCs/>
          <w:sz w:val="20"/>
          <w:szCs w:val="20"/>
        </w:rPr>
        <w:t xml:space="preserve"> Inc.</w:t>
      </w:r>
      <w:r>
        <w:rPr>
          <w:rFonts w:ascii="Times New Roman" w:eastAsia="Malgun Gothic" w:hAnsi="Times New Roman" w:cs="Times New Roman"/>
          <w:sz w:val="20"/>
          <w:szCs w:val="20"/>
        </w:rPr>
        <w:t>,</w:t>
      </w:r>
      <w:r w:rsidRPr="00640EDC">
        <w:rPr>
          <w:rFonts w:ascii="Times New Roman" w:eastAsia="Malgun Gothic" w:hAnsi="Times New Roman" w:cs="Times New Roman"/>
          <w:sz w:val="20"/>
          <w:szCs w:val="20"/>
        </w:rPr>
        <w:t xml:space="preserve"> 628 F. Supp. 2d 881 (N.D. Ill. 2009)</w:t>
      </w:r>
      <w:r>
        <w:rPr>
          <w:rFonts w:ascii="Times New Roman" w:eastAsia="Malgun Gothic" w:hAnsi="Times New Roman" w:cs="Times New Roman"/>
          <w:sz w:val="20"/>
          <w:szCs w:val="20"/>
        </w:rPr>
        <w:t>.</w:t>
      </w:r>
    </w:p>
    <w:p w:rsidR="00797515" w:rsidRDefault="00797515" w:rsidP="00797515">
      <w:pPr>
        <w:pStyle w:val="FootnoteText"/>
      </w:pPr>
    </w:p>
  </w:footnote>
  <w:footnote w:id="27">
    <w:p w:rsidR="00CA0F4B" w:rsidRPr="00073E4E" w:rsidRDefault="00CA0F4B" w:rsidP="00CA0F4B">
      <w:pPr>
        <w:pStyle w:val="FootnoteText"/>
        <w:spacing w:line="480" w:lineRule="auto"/>
        <w:rPr>
          <w:rFonts w:ascii="Times New Roman" w:hAnsi="Times New Roman" w:cs="Times New Roman"/>
        </w:rPr>
      </w:pPr>
      <w:r w:rsidRPr="00073E4E">
        <w:rPr>
          <w:rStyle w:val="FootnoteReference"/>
          <w:rFonts w:ascii="Times New Roman" w:hAnsi="Times New Roman" w:cs="Times New Roman"/>
        </w:rPr>
        <w:footnoteRef/>
      </w:r>
      <w:r w:rsidRPr="00073E4E">
        <w:rPr>
          <w:rFonts w:ascii="Times New Roman" w:hAnsi="Times New Roman" w:cs="Times New Roman"/>
        </w:rPr>
        <w:t xml:space="preserve"> </w:t>
      </w:r>
      <w:proofErr w:type="spellStart"/>
      <w:r w:rsidRPr="00073E4E">
        <w:rPr>
          <w:rFonts w:ascii="Times New Roman" w:hAnsi="Times New Roman" w:cs="Times New Roman"/>
        </w:rPr>
        <w:t>Almeling</w:t>
      </w:r>
      <w:proofErr w:type="spellEnd"/>
      <w:r w:rsidRPr="00073E4E">
        <w:rPr>
          <w:rFonts w:ascii="Times New Roman" w:hAnsi="Times New Roman" w:cs="Times New Roman"/>
        </w:rPr>
        <w:t xml:space="preserve"> et al. (2010) and (2011), cited in </w:t>
      </w:r>
      <w:r w:rsidR="005B0C16">
        <w:rPr>
          <w:rFonts w:ascii="Times New Roman" w:hAnsi="Times New Roman" w:cs="Times New Roman"/>
        </w:rPr>
        <w:t xml:space="preserve">the </w:t>
      </w:r>
      <w:r w:rsidRPr="00073E4E">
        <w:rPr>
          <w:rFonts w:ascii="Times New Roman" w:hAnsi="Times New Roman" w:cs="Times New Roman"/>
        </w:rPr>
        <w:t xml:space="preserve">Report prepared for the EU Commission </w:t>
      </w:r>
      <w:r w:rsidR="005B0C16">
        <w:rPr>
          <w:rFonts w:ascii="Times New Roman" w:hAnsi="Times New Roman" w:cs="Times New Roman"/>
        </w:rPr>
        <w:t xml:space="preserve">under </w:t>
      </w:r>
      <w:r w:rsidRPr="00073E4E">
        <w:rPr>
          <w:rFonts w:ascii="Times New Roman" w:hAnsi="Times New Roman" w:cs="Times New Roman"/>
        </w:rPr>
        <w:t xml:space="preserve">contract number MARKT/2011/128D, </w:t>
      </w:r>
      <w:r w:rsidRPr="00073E4E">
        <w:rPr>
          <w:rFonts w:ascii="Times New Roman" w:hAnsi="Times New Roman" w:cs="Times New Roman"/>
          <w:i/>
          <w:iCs/>
        </w:rPr>
        <w:t xml:space="preserve">Study on Trade Secrets and Confidential Business Information in the Internal Market </w:t>
      </w:r>
      <w:r w:rsidRPr="00073E4E">
        <w:rPr>
          <w:rFonts w:ascii="Times New Roman" w:hAnsi="Times New Roman" w:cs="Times New Roman"/>
        </w:rPr>
        <w:t>(</w:t>
      </w:r>
      <w:proofErr w:type="spellStart"/>
      <w:r w:rsidRPr="00073E4E">
        <w:rPr>
          <w:rFonts w:ascii="Times New Roman" w:hAnsi="Times New Roman" w:cs="Times New Roman"/>
        </w:rPr>
        <w:t>Ref.Ares</w:t>
      </w:r>
      <w:proofErr w:type="spellEnd"/>
      <w:r w:rsidRPr="00073E4E">
        <w:rPr>
          <w:rFonts w:ascii="Times New Roman" w:hAnsi="Times New Roman" w:cs="Times New Roman"/>
        </w:rPr>
        <w:t>(2016)98815 – 08/01/2016, April 2013) at 107</w:t>
      </w:r>
      <w:r>
        <w:rPr>
          <w:rFonts w:ascii="Times New Roman" w:hAnsi="Times New Roman" w:cs="Times New Roman"/>
        </w:rPr>
        <w:t>.</w:t>
      </w:r>
    </w:p>
  </w:footnote>
  <w:footnote w:id="28">
    <w:p w:rsidR="00CA0F4B" w:rsidRPr="00640EDC" w:rsidRDefault="00CA0F4B" w:rsidP="00CA0F4B">
      <w:pPr>
        <w:spacing w:line="480" w:lineRule="auto"/>
        <w:rPr>
          <w:rFonts w:ascii="Times New Roman" w:eastAsia="Malgun Gothic" w:hAnsi="Times New Roman" w:cs="Times New Roman"/>
          <w:sz w:val="20"/>
          <w:szCs w:val="20"/>
        </w:rPr>
      </w:pPr>
      <w:r w:rsidRPr="00FF64D6">
        <w:rPr>
          <w:rStyle w:val="FootnoteReference"/>
          <w:rFonts w:ascii="Times New Roman" w:hAnsi="Times New Roman" w:cs="Times New Roman"/>
          <w:sz w:val="20"/>
          <w:szCs w:val="20"/>
        </w:rPr>
        <w:footnoteRef/>
      </w:r>
      <w:r w:rsidRPr="00FF64D6">
        <w:rPr>
          <w:rFonts w:ascii="Times New Roman" w:hAnsi="Times New Roman" w:cs="Times New Roman"/>
          <w:sz w:val="20"/>
          <w:szCs w:val="20"/>
        </w:rPr>
        <w:t xml:space="preserve"> </w:t>
      </w:r>
      <w:r w:rsidRPr="00FF64D6">
        <w:rPr>
          <w:rFonts w:ascii="Times New Roman" w:eastAsia="Malgun Gothic" w:hAnsi="Times New Roman" w:cs="Times New Roman"/>
          <w:i/>
          <w:iCs/>
          <w:sz w:val="20"/>
          <w:szCs w:val="20"/>
        </w:rPr>
        <w:t xml:space="preserve">Stampede Tool Warehouse Inc. v May, </w:t>
      </w:r>
      <w:r w:rsidRPr="00FF64D6">
        <w:rPr>
          <w:rFonts w:ascii="Times New Roman" w:eastAsia="Malgun Gothic" w:hAnsi="Times New Roman" w:cs="Times New Roman"/>
          <w:sz w:val="20"/>
          <w:szCs w:val="20"/>
        </w:rPr>
        <w:t>272, Ill. App. 3d, 580, 209, Ill. Dec. 281, 651, N.E. 2d. 209 (1995)</w:t>
      </w:r>
      <w:r>
        <w:rPr>
          <w:rFonts w:ascii="Times New Roman" w:eastAsia="Malgun Gothic" w:hAnsi="Times New Roman" w:cs="Times New Roman"/>
          <w:sz w:val="20"/>
          <w:szCs w:val="20"/>
        </w:rPr>
        <w:t>.</w:t>
      </w:r>
    </w:p>
  </w:footnote>
  <w:footnote w:id="29">
    <w:p w:rsidR="00797515" w:rsidRPr="00FF64D6" w:rsidRDefault="00797515" w:rsidP="00797515">
      <w:pPr>
        <w:spacing w:line="480" w:lineRule="auto"/>
        <w:rPr>
          <w:rFonts w:ascii="Times New Roman" w:eastAsia="Malgun Gothic" w:hAnsi="Times New Roman" w:cs="Times New Roman"/>
          <w:sz w:val="20"/>
          <w:szCs w:val="20"/>
        </w:rPr>
      </w:pPr>
      <w:r w:rsidRPr="00C1714A">
        <w:rPr>
          <w:rStyle w:val="FootnoteReference"/>
          <w:rFonts w:ascii="Times New Roman" w:hAnsi="Times New Roman" w:cs="Times New Roman"/>
          <w:sz w:val="20"/>
          <w:szCs w:val="20"/>
        </w:rPr>
        <w:footnoteRef/>
      </w:r>
      <w:r w:rsidRPr="00C1714A">
        <w:rPr>
          <w:rFonts w:ascii="Times New Roman" w:hAnsi="Times New Roman" w:cs="Times New Roman"/>
          <w:sz w:val="20"/>
          <w:szCs w:val="20"/>
        </w:rPr>
        <w:t xml:space="preserve"> </w:t>
      </w:r>
      <w:proofErr w:type="spellStart"/>
      <w:r w:rsidRPr="00C1714A">
        <w:rPr>
          <w:rFonts w:ascii="Times New Roman" w:eastAsia="Malgun Gothic" w:hAnsi="Times New Roman" w:cs="Times New Roman"/>
          <w:i/>
          <w:iCs/>
          <w:sz w:val="20"/>
          <w:szCs w:val="20"/>
        </w:rPr>
        <w:t>Orthofix</w:t>
      </w:r>
      <w:proofErr w:type="spellEnd"/>
      <w:r w:rsidRPr="00C1714A">
        <w:rPr>
          <w:rFonts w:ascii="Times New Roman" w:eastAsia="Malgun Gothic" w:hAnsi="Times New Roman" w:cs="Times New Roman"/>
          <w:i/>
          <w:iCs/>
          <w:sz w:val="20"/>
          <w:szCs w:val="20"/>
        </w:rPr>
        <w:t xml:space="preserve"> v Hunter, </w:t>
      </w:r>
      <w:r w:rsidRPr="00C1714A">
        <w:rPr>
          <w:rFonts w:ascii="Times New Roman" w:eastAsia="Malgun Gothic" w:hAnsi="Times New Roman" w:cs="Times New Roman"/>
          <w:sz w:val="20"/>
          <w:szCs w:val="20"/>
        </w:rPr>
        <w:t>55 F. Supp. 3d 1005, 1013 (N.D. Ohio 2014), 630 F. App</w:t>
      </w:r>
      <w:r>
        <w:rPr>
          <w:rFonts w:ascii="Times New Roman" w:eastAsia="Malgun Gothic" w:hAnsi="Times New Roman" w:cs="Times New Roman"/>
          <w:sz w:val="20"/>
          <w:szCs w:val="20"/>
        </w:rPr>
        <w:t>x</w:t>
      </w:r>
      <w:r w:rsidRPr="00C1714A">
        <w:rPr>
          <w:rFonts w:ascii="Times New Roman" w:eastAsia="Malgun Gothic" w:hAnsi="Times New Roman" w:cs="Times New Roman"/>
          <w:sz w:val="20"/>
          <w:szCs w:val="20"/>
        </w:rPr>
        <w:t xml:space="preserve"> 566 (6</w:t>
      </w:r>
      <w:r w:rsidRPr="00C1714A">
        <w:rPr>
          <w:rFonts w:ascii="Times New Roman" w:eastAsia="Malgun Gothic" w:hAnsi="Times New Roman" w:cs="Times New Roman"/>
          <w:sz w:val="20"/>
          <w:szCs w:val="20"/>
          <w:vertAlign w:val="superscript"/>
        </w:rPr>
        <w:t>th</w:t>
      </w:r>
      <w:r w:rsidRPr="00C1714A">
        <w:rPr>
          <w:rFonts w:ascii="Times New Roman" w:eastAsia="Malgun Gothic" w:hAnsi="Times New Roman" w:cs="Times New Roman"/>
          <w:sz w:val="20"/>
          <w:szCs w:val="20"/>
        </w:rPr>
        <w:t xml:space="preserve"> Cir. 2015)</w:t>
      </w:r>
      <w:r>
        <w:rPr>
          <w:rFonts w:ascii="Times New Roman" w:eastAsia="Malgun Gothic" w:hAnsi="Times New Roman" w:cs="Times New Roman"/>
          <w:sz w:val="20"/>
          <w:szCs w:val="20"/>
        </w:rPr>
        <w:t>.</w:t>
      </w:r>
    </w:p>
  </w:footnote>
  <w:footnote w:id="30">
    <w:p w:rsidR="00797515" w:rsidRPr="00C1714A" w:rsidRDefault="00797515" w:rsidP="00797515">
      <w:pPr>
        <w:spacing w:line="480" w:lineRule="auto"/>
        <w:rPr>
          <w:rFonts w:ascii="Times New Roman" w:eastAsia="Malgun Gothic" w:hAnsi="Times New Roman" w:cs="Times New Roman"/>
          <w:sz w:val="20"/>
          <w:szCs w:val="20"/>
        </w:rPr>
      </w:pPr>
      <w:r w:rsidRPr="00C1714A">
        <w:rPr>
          <w:rStyle w:val="FootnoteReference"/>
          <w:rFonts w:ascii="Times New Roman" w:hAnsi="Times New Roman" w:cs="Times New Roman"/>
          <w:sz w:val="20"/>
          <w:szCs w:val="20"/>
        </w:rPr>
        <w:footnoteRef/>
      </w:r>
      <w:r w:rsidRPr="00C1714A">
        <w:rPr>
          <w:rFonts w:ascii="Times New Roman" w:hAnsi="Times New Roman" w:cs="Times New Roman"/>
          <w:sz w:val="20"/>
          <w:szCs w:val="20"/>
        </w:rPr>
        <w:t xml:space="preserve"> </w:t>
      </w:r>
      <w:r w:rsidRPr="00C1714A">
        <w:rPr>
          <w:rFonts w:ascii="Times New Roman" w:eastAsia="Malgun Gothic" w:hAnsi="Times New Roman" w:cs="Times New Roman"/>
          <w:i/>
          <w:iCs/>
          <w:sz w:val="20"/>
          <w:szCs w:val="20"/>
        </w:rPr>
        <w:t>Form Factor Inc. v Micro-Probe Inc.</w:t>
      </w:r>
      <w:r>
        <w:rPr>
          <w:rFonts w:ascii="Times New Roman" w:eastAsia="Malgun Gothic" w:hAnsi="Times New Roman" w:cs="Times New Roman"/>
          <w:sz w:val="20"/>
          <w:szCs w:val="20"/>
        </w:rPr>
        <w:t>,</w:t>
      </w:r>
      <w:r w:rsidRPr="00C1714A">
        <w:rPr>
          <w:rFonts w:ascii="Times New Roman" w:eastAsia="Malgun Gothic" w:hAnsi="Times New Roman" w:cs="Times New Roman"/>
          <w:i/>
          <w:iCs/>
          <w:sz w:val="20"/>
          <w:szCs w:val="20"/>
        </w:rPr>
        <w:t xml:space="preserve"> </w:t>
      </w:r>
      <w:r w:rsidRPr="00C1714A">
        <w:rPr>
          <w:rFonts w:ascii="Times New Roman" w:eastAsia="Malgun Gothic" w:hAnsi="Times New Roman" w:cs="Times New Roman"/>
          <w:sz w:val="20"/>
          <w:szCs w:val="20"/>
        </w:rPr>
        <w:t xml:space="preserve">No. 10-cv-3095, PJH at 11 (N.D. Cal. Jun </w:t>
      </w:r>
      <w:proofErr w:type="gramStart"/>
      <w:r w:rsidRPr="00C1714A">
        <w:rPr>
          <w:rFonts w:ascii="Times New Roman" w:eastAsia="Malgun Gothic" w:hAnsi="Times New Roman" w:cs="Times New Roman"/>
          <w:sz w:val="20"/>
          <w:szCs w:val="20"/>
        </w:rPr>
        <w:t>7</w:t>
      </w:r>
      <w:proofErr w:type="gramEnd"/>
      <w:r>
        <w:rPr>
          <w:rFonts w:ascii="Times New Roman" w:eastAsia="Malgun Gothic" w:hAnsi="Times New Roman" w:cs="Times New Roman"/>
          <w:sz w:val="20"/>
          <w:szCs w:val="20"/>
        </w:rPr>
        <w:t xml:space="preserve"> </w:t>
      </w:r>
      <w:r w:rsidRPr="00C1714A">
        <w:rPr>
          <w:rFonts w:ascii="Times New Roman" w:eastAsia="Malgun Gothic" w:hAnsi="Times New Roman" w:cs="Times New Roman"/>
          <w:sz w:val="20"/>
          <w:szCs w:val="20"/>
        </w:rPr>
        <w:t>2012)</w:t>
      </w:r>
      <w:r>
        <w:rPr>
          <w:rFonts w:ascii="Times New Roman" w:eastAsia="Malgun Gothic" w:hAnsi="Times New Roman" w:cs="Times New Roman"/>
          <w:sz w:val="20"/>
          <w:szCs w:val="20"/>
        </w:rPr>
        <w:t>.</w:t>
      </w:r>
    </w:p>
  </w:footnote>
  <w:footnote w:id="31">
    <w:p w:rsidR="00797515" w:rsidRPr="005B0C16" w:rsidRDefault="00797515" w:rsidP="005B0C16">
      <w:pPr>
        <w:spacing w:line="480" w:lineRule="auto"/>
        <w:rPr>
          <w:rFonts w:ascii="Times New Roman" w:eastAsia="Malgun Gothic" w:hAnsi="Times New Roman" w:cs="Times New Roman"/>
          <w:sz w:val="20"/>
          <w:szCs w:val="20"/>
        </w:rPr>
      </w:pPr>
      <w:r w:rsidRPr="00C1714A">
        <w:rPr>
          <w:rStyle w:val="FootnoteReference"/>
          <w:rFonts w:ascii="Times New Roman" w:hAnsi="Times New Roman" w:cs="Times New Roman"/>
          <w:sz w:val="20"/>
          <w:szCs w:val="20"/>
        </w:rPr>
        <w:footnoteRef/>
      </w:r>
      <w:r w:rsidRPr="00C1714A">
        <w:rPr>
          <w:rFonts w:ascii="Times New Roman" w:hAnsi="Times New Roman" w:cs="Times New Roman"/>
          <w:sz w:val="20"/>
          <w:szCs w:val="20"/>
        </w:rPr>
        <w:t xml:space="preserve"> </w:t>
      </w:r>
      <w:r w:rsidR="005B0C16" w:rsidRPr="005B0C16">
        <w:rPr>
          <w:rFonts w:ascii="Times New Roman" w:eastAsia="Malgun Gothic" w:hAnsi="Times New Roman" w:cs="Times New Roman"/>
          <w:i/>
          <w:iCs/>
          <w:sz w:val="20"/>
          <w:szCs w:val="20"/>
        </w:rPr>
        <w:t xml:space="preserve">Liebert Corp. v Mazur, </w:t>
      </w:r>
      <w:r w:rsidR="005B0C16" w:rsidRPr="005B0C16">
        <w:rPr>
          <w:rFonts w:ascii="Times New Roman" w:eastAsia="Malgun Gothic" w:hAnsi="Times New Roman" w:cs="Times New Roman"/>
          <w:sz w:val="20"/>
          <w:szCs w:val="20"/>
        </w:rPr>
        <w:t>357, Ill. App. 3d, 265, 293, Ill. Dec 28, 827 N.E. 2d, 909 (2005).</w:t>
      </w:r>
    </w:p>
  </w:footnote>
  <w:footnote w:id="32">
    <w:p w:rsidR="00441237" w:rsidRPr="00EB6AF9" w:rsidRDefault="00441237" w:rsidP="00CC1865">
      <w:pPr>
        <w:spacing w:line="480" w:lineRule="auto"/>
        <w:rPr>
          <w:rFonts w:ascii="Times New Roman" w:eastAsia="Times New Roman" w:hAnsi="Times New Roman" w:cs="Times New Roman"/>
          <w:sz w:val="20"/>
          <w:szCs w:val="20"/>
          <w:lang w:eastAsia="en-GB"/>
        </w:rPr>
      </w:pPr>
      <w:r w:rsidRPr="00C1714A">
        <w:rPr>
          <w:rStyle w:val="FootnoteReference"/>
          <w:rFonts w:ascii="Times New Roman" w:hAnsi="Times New Roman" w:cs="Times New Roman"/>
          <w:sz w:val="20"/>
          <w:szCs w:val="20"/>
        </w:rPr>
        <w:footnoteRef/>
      </w:r>
      <w:r w:rsidRPr="00C1714A">
        <w:rPr>
          <w:rFonts w:ascii="Times New Roman" w:hAnsi="Times New Roman" w:cs="Times New Roman"/>
          <w:sz w:val="20"/>
          <w:szCs w:val="20"/>
        </w:rPr>
        <w:t xml:space="preserve"> </w:t>
      </w:r>
      <w:r w:rsidRPr="00C1714A">
        <w:rPr>
          <w:rFonts w:ascii="Times New Roman" w:eastAsia="Times New Roman" w:hAnsi="Times New Roman" w:cs="Times New Roman"/>
          <w:i/>
          <w:iCs/>
          <w:color w:val="000000"/>
          <w:sz w:val="20"/>
          <w:szCs w:val="20"/>
          <w:lang w:eastAsia="en-GB"/>
        </w:rPr>
        <w:t xml:space="preserve">Boston Scientific Corp. v </w:t>
      </w:r>
      <w:proofErr w:type="spellStart"/>
      <w:r w:rsidRPr="00C1714A">
        <w:rPr>
          <w:rFonts w:ascii="Times New Roman" w:eastAsia="Times New Roman" w:hAnsi="Times New Roman" w:cs="Times New Roman"/>
          <w:i/>
          <w:iCs/>
          <w:color w:val="000000"/>
          <w:sz w:val="20"/>
          <w:szCs w:val="20"/>
          <w:lang w:eastAsia="en-GB"/>
        </w:rPr>
        <w:t>Dongchul</w:t>
      </w:r>
      <w:proofErr w:type="spellEnd"/>
      <w:r w:rsidRPr="00C1714A">
        <w:rPr>
          <w:rFonts w:ascii="Times New Roman" w:eastAsia="Times New Roman" w:hAnsi="Times New Roman" w:cs="Times New Roman"/>
          <w:i/>
          <w:iCs/>
          <w:color w:val="000000"/>
          <w:sz w:val="20"/>
          <w:szCs w:val="20"/>
          <w:lang w:eastAsia="en-GB"/>
        </w:rPr>
        <w:t xml:space="preserve"> Lee</w:t>
      </w:r>
      <w:r w:rsidRPr="00C1714A">
        <w:rPr>
          <w:rFonts w:ascii="Times New Roman" w:eastAsia="Times New Roman" w:hAnsi="Times New Roman" w:cs="Times New Roman"/>
          <w:color w:val="000000"/>
          <w:sz w:val="20"/>
          <w:szCs w:val="20"/>
          <w:lang w:eastAsia="en-GB"/>
        </w:rPr>
        <w:t>, No. 1:13-cv-13156-DJC (D. Mass.)</w:t>
      </w:r>
      <w:r>
        <w:rPr>
          <w:rFonts w:ascii="Times New Roman" w:eastAsia="Times New Roman" w:hAnsi="Times New Roman" w:cs="Times New Roman"/>
          <w:color w:val="000000"/>
          <w:sz w:val="20"/>
          <w:szCs w:val="20"/>
          <w:lang w:eastAsia="en-GB"/>
        </w:rPr>
        <w:t>.</w:t>
      </w:r>
    </w:p>
  </w:footnote>
  <w:footnote w:id="33">
    <w:p w:rsidR="008452EE" w:rsidRPr="008452EE" w:rsidRDefault="00EE5ED4" w:rsidP="00CC1865">
      <w:pPr>
        <w:pStyle w:val="Footnotes"/>
        <w:spacing w:line="480" w:lineRule="auto"/>
        <w:rPr>
          <w:sz w:val="20"/>
          <w:szCs w:val="20"/>
        </w:rPr>
      </w:pPr>
      <w:r>
        <w:rPr>
          <w:rStyle w:val="FootnoteReference"/>
        </w:rPr>
        <w:footnoteRef/>
      </w:r>
      <w:r>
        <w:t xml:space="preserve"> </w:t>
      </w:r>
      <w:r w:rsidR="008452EE" w:rsidRPr="008452EE">
        <w:rPr>
          <w:sz w:val="20"/>
          <w:szCs w:val="20"/>
        </w:rPr>
        <w:t xml:space="preserve">Center for Responsible Enterprise and Trade, </w:t>
      </w:r>
      <w:r w:rsidR="008452EE" w:rsidRPr="008452EE">
        <w:rPr>
          <w:i/>
          <w:iCs/>
          <w:sz w:val="20"/>
          <w:szCs w:val="20"/>
        </w:rPr>
        <w:t>The Importance of Cybersecurity for Trade Secret Protection: Developments in trade secrets cases and the growing role of the NIST Framework</w:t>
      </w:r>
      <w:r w:rsidR="008452EE" w:rsidRPr="008452EE">
        <w:rPr>
          <w:sz w:val="20"/>
          <w:szCs w:val="20"/>
        </w:rPr>
        <w:t xml:space="preserve"> (2016).</w:t>
      </w:r>
    </w:p>
    <w:p w:rsidR="00EE5ED4" w:rsidRDefault="00EE5ED4">
      <w:pPr>
        <w:pStyle w:val="FootnoteText"/>
      </w:pPr>
    </w:p>
  </w:footnote>
  <w:footnote w:id="34">
    <w:p w:rsidR="007C02D3" w:rsidRPr="00FF64D6" w:rsidRDefault="007C02D3" w:rsidP="007C02D3">
      <w:pPr>
        <w:spacing w:line="480" w:lineRule="auto"/>
        <w:rPr>
          <w:rFonts w:ascii="Times New Roman" w:eastAsia="Times New Roman" w:hAnsi="Times New Roman" w:cs="Times New Roman"/>
          <w:sz w:val="20"/>
          <w:szCs w:val="20"/>
          <w:lang w:eastAsia="en-GB"/>
        </w:rPr>
      </w:pPr>
      <w:r w:rsidRPr="00FF64D6">
        <w:rPr>
          <w:rStyle w:val="FootnoteReference"/>
          <w:rFonts w:ascii="Times New Roman" w:hAnsi="Times New Roman" w:cs="Times New Roman"/>
          <w:sz w:val="20"/>
          <w:szCs w:val="20"/>
        </w:rPr>
        <w:footnoteRef/>
      </w:r>
      <w:r w:rsidRPr="00FF64D6">
        <w:rPr>
          <w:rFonts w:ascii="Times New Roman" w:hAnsi="Times New Roman" w:cs="Times New Roman"/>
          <w:sz w:val="20"/>
          <w:szCs w:val="20"/>
        </w:rPr>
        <w:t xml:space="preserve"> </w:t>
      </w:r>
      <w:r w:rsidRPr="00FF64D6">
        <w:rPr>
          <w:rFonts w:ascii="Times New Roman" w:eastAsia="Times New Roman" w:hAnsi="Times New Roman" w:cs="Times New Roman"/>
          <w:i/>
          <w:iCs/>
          <w:color w:val="000000"/>
          <w:sz w:val="20"/>
          <w:szCs w:val="20"/>
          <w:lang w:eastAsia="en-GB"/>
        </w:rPr>
        <w:t xml:space="preserve">Learning Curve Toys v </w:t>
      </w:r>
      <w:proofErr w:type="spellStart"/>
      <w:r w:rsidRPr="00FF64D6">
        <w:rPr>
          <w:rFonts w:ascii="Times New Roman" w:eastAsia="Times New Roman" w:hAnsi="Times New Roman" w:cs="Times New Roman"/>
          <w:i/>
          <w:iCs/>
          <w:color w:val="000000"/>
          <w:sz w:val="20"/>
          <w:szCs w:val="20"/>
          <w:lang w:eastAsia="en-GB"/>
        </w:rPr>
        <w:t>Playwood</w:t>
      </w:r>
      <w:proofErr w:type="spellEnd"/>
      <w:r w:rsidRPr="00FF64D6">
        <w:rPr>
          <w:rFonts w:ascii="Times New Roman" w:eastAsia="Times New Roman" w:hAnsi="Times New Roman" w:cs="Times New Roman"/>
          <w:i/>
          <w:iCs/>
          <w:color w:val="000000"/>
          <w:sz w:val="20"/>
          <w:szCs w:val="20"/>
          <w:lang w:eastAsia="en-GB"/>
        </w:rPr>
        <w:t xml:space="preserve"> Toys Inc.</w:t>
      </w:r>
      <w:r>
        <w:rPr>
          <w:rFonts w:ascii="Times New Roman" w:eastAsia="Times New Roman" w:hAnsi="Times New Roman" w:cs="Times New Roman"/>
          <w:color w:val="000000"/>
          <w:sz w:val="20"/>
          <w:szCs w:val="20"/>
          <w:lang w:eastAsia="en-GB"/>
        </w:rPr>
        <w:t>,</w:t>
      </w:r>
      <w:r w:rsidRPr="00FF64D6">
        <w:rPr>
          <w:rFonts w:ascii="Times New Roman" w:eastAsia="Times New Roman" w:hAnsi="Times New Roman" w:cs="Times New Roman"/>
          <w:color w:val="000000"/>
          <w:sz w:val="20"/>
          <w:szCs w:val="20"/>
          <w:lang w:eastAsia="en-GB"/>
        </w:rPr>
        <w:t xml:space="preserve"> 342 F. 3d, 714, 725, (7th Cir. 2003)</w:t>
      </w:r>
      <w:r>
        <w:rPr>
          <w:rFonts w:ascii="Times New Roman" w:eastAsia="Times New Roman" w:hAnsi="Times New Roman" w:cs="Times New Roman"/>
          <w:color w:val="000000"/>
          <w:sz w:val="20"/>
          <w:szCs w:val="20"/>
          <w:lang w:eastAsia="en-GB"/>
        </w:rPr>
        <w:t>.</w:t>
      </w:r>
    </w:p>
  </w:footnote>
  <w:footnote w:id="35">
    <w:p w:rsidR="00797515" w:rsidRPr="00FF64D6" w:rsidRDefault="00797515" w:rsidP="00797515">
      <w:pPr>
        <w:spacing w:line="480" w:lineRule="auto"/>
        <w:rPr>
          <w:rFonts w:ascii="Times New Roman" w:eastAsia="Times New Roman" w:hAnsi="Times New Roman" w:cs="Times New Roman"/>
          <w:sz w:val="20"/>
          <w:szCs w:val="20"/>
          <w:lang w:eastAsia="en-GB"/>
        </w:rPr>
      </w:pPr>
      <w:r w:rsidRPr="00FF64D6">
        <w:rPr>
          <w:rStyle w:val="FootnoteReference"/>
          <w:rFonts w:ascii="Times New Roman" w:hAnsi="Times New Roman" w:cs="Times New Roman"/>
          <w:sz w:val="20"/>
          <w:szCs w:val="20"/>
        </w:rPr>
        <w:footnoteRef/>
      </w:r>
      <w:r w:rsidRPr="00FF64D6">
        <w:rPr>
          <w:rFonts w:ascii="Times New Roman" w:hAnsi="Times New Roman" w:cs="Times New Roman"/>
          <w:sz w:val="20"/>
          <w:szCs w:val="20"/>
        </w:rPr>
        <w:t xml:space="preserve"> </w:t>
      </w:r>
      <w:r w:rsidRPr="00FF64D6">
        <w:rPr>
          <w:rFonts w:ascii="Times New Roman" w:eastAsia="Times New Roman" w:hAnsi="Times New Roman" w:cs="Times New Roman"/>
          <w:i/>
          <w:iCs/>
          <w:color w:val="000000"/>
          <w:sz w:val="20"/>
          <w:szCs w:val="20"/>
          <w:lang w:eastAsia="en-GB"/>
        </w:rPr>
        <w:t xml:space="preserve">Compuware Corp. v </w:t>
      </w:r>
      <w:proofErr w:type="spellStart"/>
      <w:r w:rsidRPr="00FF64D6">
        <w:rPr>
          <w:rFonts w:ascii="Times New Roman" w:eastAsia="Times New Roman" w:hAnsi="Times New Roman" w:cs="Times New Roman"/>
          <w:i/>
          <w:iCs/>
          <w:color w:val="000000"/>
          <w:sz w:val="20"/>
          <w:szCs w:val="20"/>
          <w:lang w:eastAsia="en-GB"/>
        </w:rPr>
        <w:t>Heathcare</w:t>
      </w:r>
      <w:proofErr w:type="spellEnd"/>
      <w:r w:rsidRPr="00FF64D6">
        <w:rPr>
          <w:rFonts w:ascii="Times New Roman" w:eastAsia="Times New Roman" w:hAnsi="Times New Roman" w:cs="Times New Roman"/>
          <w:i/>
          <w:iCs/>
          <w:color w:val="000000"/>
          <w:sz w:val="20"/>
          <w:szCs w:val="20"/>
          <w:lang w:eastAsia="en-GB"/>
        </w:rPr>
        <w:t xml:space="preserve"> Serv. Corp.</w:t>
      </w:r>
      <w:r>
        <w:rPr>
          <w:rFonts w:ascii="Times New Roman" w:eastAsia="Times New Roman" w:hAnsi="Times New Roman" w:cs="Times New Roman"/>
          <w:color w:val="000000"/>
          <w:sz w:val="20"/>
          <w:szCs w:val="20"/>
          <w:lang w:eastAsia="en-GB"/>
        </w:rPr>
        <w:t>,</w:t>
      </w:r>
      <w:r w:rsidRPr="00FF64D6">
        <w:rPr>
          <w:rFonts w:ascii="Times New Roman" w:eastAsia="Times New Roman" w:hAnsi="Times New Roman" w:cs="Times New Roman"/>
          <w:color w:val="000000"/>
          <w:sz w:val="20"/>
          <w:szCs w:val="20"/>
          <w:lang w:eastAsia="en-GB"/>
        </w:rPr>
        <w:t xml:space="preserve"> 203 F. Supp. 2d, 952 (N.D. Ill. 2002)</w:t>
      </w:r>
      <w:r>
        <w:rPr>
          <w:rFonts w:ascii="Times New Roman" w:eastAsia="Times New Roman" w:hAnsi="Times New Roman" w:cs="Times New Roman"/>
          <w:color w:val="000000"/>
          <w:sz w:val="20"/>
          <w:szCs w:val="20"/>
          <w:lang w:eastAsia="en-GB"/>
        </w:rPr>
        <w:t>.</w:t>
      </w:r>
    </w:p>
  </w:footnote>
  <w:footnote w:id="36">
    <w:p w:rsidR="00797515" w:rsidRPr="00FF64D6" w:rsidRDefault="00797515" w:rsidP="00797515">
      <w:pPr>
        <w:pStyle w:val="FootnoteText"/>
        <w:spacing w:line="480" w:lineRule="auto"/>
        <w:rPr>
          <w:rFonts w:ascii="Times New Roman" w:hAnsi="Times New Roman" w:cs="Times New Roman"/>
        </w:rPr>
      </w:pPr>
      <w:r w:rsidRPr="00FF64D6">
        <w:rPr>
          <w:rStyle w:val="FootnoteReference"/>
          <w:rFonts w:ascii="Times New Roman" w:hAnsi="Times New Roman" w:cs="Times New Roman"/>
        </w:rPr>
        <w:footnoteRef/>
      </w:r>
      <w:r w:rsidRPr="00FF64D6">
        <w:rPr>
          <w:rFonts w:ascii="Times New Roman" w:hAnsi="Times New Roman" w:cs="Times New Roman"/>
        </w:rPr>
        <w:t xml:space="preserve"> Ibid, at 958</w:t>
      </w:r>
      <w:r>
        <w:rPr>
          <w:rFonts w:ascii="Times New Roman" w:hAnsi="Times New Roman" w:cs="Times New Roman"/>
        </w:rPr>
        <w:t>.</w:t>
      </w:r>
    </w:p>
  </w:footnote>
  <w:footnote w:id="37">
    <w:p w:rsidR="000D5272" w:rsidRPr="00A122A7" w:rsidRDefault="000D5272" w:rsidP="000D5272">
      <w:pPr>
        <w:pStyle w:val="FootnoteText"/>
        <w:spacing w:line="480" w:lineRule="auto"/>
        <w:rPr>
          <w:rFonts w:ascii="Times New Roman" w:hAnsi="Times New Roman" w:cs="Times New Roman"/>
        </w:rPr>
      </w:pPr>
      <w:r w:rsidRPr="00A122A7">
        <w:rPr>
          <w:rStyle w:val="FootnoteReference"/>
          <w:rFonts w:ascii="Times New Roman" w:hAnsi="Times New Roman" w:cs="Times New Roman"/>
        </w:rPr>
        <w:footnoteRef/>
      </w:r>
      <w:r w:rsidRPr="00A122A7">
        <w:rPr>
          <w:rFonts w:ascii="Times New Roman" w:hAnsi="Times New Roman" w:cs="Times New Roman"/>
        </w:rPr>
        <w:t xml:space="preserve">  </w:t>
      </w:r>
      <w:r>
        <w:rPr>
          <w:rFonts w:ascii="Times New Roman" w:hAnsi="Times New Roman" w:cs="Times New Roman"/>
        </w:rPr>
        <w:t>J. Hull, “</w:t>
      </w:r>
      <w:r w:rsidRPr="00775F48">
        <w:rPr>
          <w:rFonts w:ascii="Times New Roman" w:hAnsi="Times New Roman" w:cs="Times New Roman"/>
        </w:rPr>
        <w:t>Trade Secrets – reasonable steps</w:t>
      </w:r>
      <w:r>
        <w:rPr>
          <w:rFonts w:ascii="Times New Roman" w:hAnsi="Times New Roman" w:cs="Times New Roman"/>
          <w:i/>
          <w:iCs/>
        </w:rPr>
        <w:t xml:space="preserve">” </w:t>
      </w:r>
      <w:r>
        <w:rPr>
          <w:rFonts w:ascii="Times New Roman" w:hAnsi="Times New Roman" w:cs="Times New Roman"/>
        </w:rPr>
        <w:t xml:space="preserve">[2019] CIPA Journal, Volume 48, Number 10, at 18. </w:t>
      </w:r>
    </w:p>
  </w:footnote>
  <w:footnote w:id="38">
    <w:p w:rsidR="000D5272" w:rsidRPr="00A122A7" w:rsidRDefault="000D5272" w:rsidP="000D5272">
      <w:pPr>
        <w:spacing w:line="480" w:lineRule="auto"/>
        <w:rPr>
          <w:rFonts w:ascii="Times New Roman" w:eastAsia="Times New Roman" w:hAnsi="Times New Roman" w:cs="Times New Roman"/>
          <w:sz w:val="20"/>
          <w:szCs w:val="20"/>
          <w:lang w:eastAsia="en-GB"/>
        </w:rPr>
      </w:pPr>
      <w:r w:rsidRPr="00A122A7">
        <w:rPr>
          <w:rStyle w:val="FootnoteReference"/>
          <w:rFonts w:ascii="Times New Roman" w:hAnsi="Times New Roman" w:cs="Times New Roman"/>
          <w:sz w:val="20"/>
          <w:szCs w:val="20"/>
        </w:rPr>
        <w:footnoteRef/>
      </w:r>
      <w:r w:rsidRPr="00A122A7">
        <w:rPr>
          <w:rFonts w:ascii="Times New Roman" w:hAnsi="Times New Roman" w:cs="Times New Roman"/>
          <w:sz w:val="20"/>
          <w:szCs w:val="20"/>
        </w:rPr>
        <w:t xml:space="preserve"> </w:t>
      </w:r>
      <w:proofErr w:type="spellStart"/>
      <w:r w:rsidRPr="00A122A7">
        <w:rPr>
          <w:rFonts w:ascii="Times New Roman" w:eastAsia="Times New Roman" w:hAnsi="Times New Roman" w:cs="Times New Roman"/>
          <w:i/>
          <w:iCs/>
          <w:color w:val="000000"/>
          <w:sz w:val="20"/>
          <w:szCs w:val="20"/>
          <w:lang w:eastAsia="en-GB"/>
        </w:rPr>
        <w:t>P</w:t>
      </w:r>
      <w:r w:rsidR="00A34E77">
        <w:rPr>
          <w:rFonts w:ascii="Times New Roman" w:eastAsia="Times New Roman" w:hAnsi="Times New Roman" w:cs="Times New Roman"/>
          <w:i/>
          <w:iCs/>
          <w:color w:val="000000"/>
          <w:sz w:val="20"/>
          <w:szCs w:val="20"/>
          <w:lang w:eastAsia="en-GB"/>
        </w:rPr>
        <w:t>u</w:t>
      </w:r>
      <w:r w:rsidRPr="00A122A7">
        <w:rPr>
          <w:rFonts w:ascii="Times New Roman" w:eastAsia="Times New Roman" w:hAnsi="Times New Roman" w:cs="Times New Roman"/>
          <w:i/>
          <w:iCs/>
          <w:color w:val="000000"/>
          <w:sz w:val="20"/>
          <w:szCs w:val="20"/>
          <w:lang w:eastAsia="en-GB"/>
        </w:rPr>
        <w:t>roon</w:t>
      </w:r>
      <w:proofErr w:type="spellEnd"/>
      <w:r w:rsidRPr="00A122A7">
        <w:rPr>
          <w:rFonts w:ascii="Times New Roman" w:eastAsia="Times New Roman" w:hAnsi="Times New Roman" w:cs="Times New Roman"/>
          <w:i/>
          <w:iCs/>
          <w:color w:val="000000"/>
          <w:sz w:val="20"/>
          <w:szCs w:val="20"/>
          <w:lang w:eastAsia="en-GB"/>
        </w:rPr>
        <w:t xml:space="preserve"> Inc. v Midwest Photographic Res </w:t>
      </w:r>
      <w:proofErr w:type="spellStart"/>
      <w:r w:rsidRPr="00A122A7">
        <w:rPr>
          <w:rFonts w:ascii="Times New Roman" w:eastAsia="Times New Roman" w:hAnsi="Times New Roman" w:cs="Times New Roman"/>
          <w:i/>
          <w:iCs/>
          <w:color w:val="000000"/>
          <w:sz w:val="20"/>
          <w:szCs w:val="20"/>
          <w:lang w:eastAsia="en-GB"/>
        </w:rPr>
        <w:t>Ctr</w:t>
      </w:r>
      <w:proofErr w:type="spellEnd"/>
      <w:r w:rsidRPr="00A122A7">
        <w:rPr>
          <w:rFonts w:ascii="Times New Roman" w:eastAsia="Times New Roman" w:hAnsi="Times New Roman" w:cs="Times New Roman"/>
          <w:i/>
          <w:iCs/>
          <w:color w:val="000000"/>
          <w:sz w:val="20"/>
          <w:szCs w:val="20"/>
          <w:lang w:eastAsia="en-GB"/>
        </w:rPr>
        <w:t xml:space="preserve"> Inc.</w:t>
      </w:r>
      <w:r>
        <w:rPr>
          <w:rFonts w:ascii="Times New Roman" w:eastAsia="Times New Roman" w:hAnsi="Times New Roman" w:cs="Times New Roman"/>
          <w:color w:val="000000"/>
          <w:sz w:val="20"/>
          <w:szCs w:val="20"/>
          <w:lang w:eastAsia="en-GB"/>
        </w:rPr>
        <w:t>,</w:t>
      </w:r>
      <w:r w:rsidRPr="00A122A7">
        <w:rPr>
          <w:rFonts w:ascii="Times New Roman" w:eastAsia="Times New Roman" w:hAnsi="Times New Roman" w:cs="Times New Roman"/>
          <w:color w:val="000000"/>
          <w:sz w:val="20"/>
          <w:szCs w:val="20"/>
          <w:lang w:eastAsia="en-GB"/>
        </w:rPr>
        <w:t xml:space="preserve"> No.16-cv-7811, 2018, WL 5776334 (N.D. Ill. Nov</w:t>
      </w:r>
      <w:r>
        <w:rPr>
          <w:rFonts w:ascii="Times New Roman" w:eastAsia="Times New Roman" w:hAnsi="Times New Roman" w:cs="Times New Roman"/>
          <w:color w:val="000000"/>
          <w:sz w:val="20"/>
          <w:szCs w:val="20"/>
          <w:lang w:eastAsia="en-GB"/>
        </w:rPr>
        <w:t xml:space="preserve"> </w:t>
      </w:r>
      <w:proofErr w:type="gramStart"/>
      <w:r w:rsidRPr="00A122A7">
        <w:rPr>
          <w:rFonts w:ascii="Times New Roman" w:eastAsia="Times New Roman" w:hAnsi="Times New Roman" w:cs="Times New Roman"/>
          <w:color w:val="000000"/>
          <w:sz w:val="20"/>
          <w:szCs w:val="20"/>
          <w:lang w:eastAsia="en-GB"/>
        </w:rPr>
        <w:t>2</w:t>
      </w:r>
      <w:proofErr w:type="gramEnd"/>
      <w:r>
        <w:rPr>
          <w:rFonts w:ascii="Times New Roman" w:eastAsia="Times New Roman" w:hAnsi="Times New Roman" w:cs="Times New Roman"/>
          <w:color w:val="000000"/>
          <w:sz w:val="20"/>
          <w:szCs w:val="20"/>
          <w:vertAlign w:val="superscript"/>
          <w:lang w:eastAsia="en-GB"/>
        </w:rPr>
        <w:t xml:space="preserve"> </w:t>
      </w:r>
      <w:r w:rsidRPr="00A122A7">
        <w:rPr>
          <w:rFonts w:ascii="Times New Roman" w:eastAsia="Times New Roman" w:hAnsi="Times New Roman" w:cs="Times New Roman"/>
          <w:color w:val="000000"/>
          <w:sz w:val="20"/>
          <w:szCs w:val="20"/>
          <w:lang w:eastAsia="en-GB"/>
        </w:rPr>
        <w:t>2018)</w:t>
      </w:r>
      <w:r>
        <w:rPr>
          <w:rFonts w:ascii="Times New Roman" w:eastAsia="Times New Roman" w:hAnsi="Times New Roman" w:cs="Times New Roman"/>
          <w:color w:val="000000"/>
          <w:sz w:val="20"/>
          <w:szCs w:val="20"/>
          <w:lang w:eastAsia="en-GB"/>
        </w:rPr>
        <w:t xml:space="preserve"> at 7.</w:t>
      </w:r>
    </w:p>
  </w:footnote>
  <w:footnote w:id="39">
    <w:p w:rsidR="000D5272" w:rsidRPr="00A122A7" w:rsidRDefault="000D5272" w:rsidP="00A34E77">
      <w:pPr>
        <w:pStyle w:val="FootnoteText"/>
        <w:spacing w:line="480" w:lineRule="auto"/>
        <w:rPr>
          <w:rFonts w:ascii="Times New Roman" w:hAnsi="Times New Roman" w:cs="Times New Roman"/>
        </w:rPr>
      </w:pPr>
      <w:r w:rsidRPr="00A122A7">
        <w:rPr>
          <w:rStyle w:val="FootnoteReference"/>
          <w:rFonts w:ascii="Times New Roman" w:hAnsi="Times New Roman" w:cs="Times New Roman"/>
        </w:rPr>
        <w:footnoteRef/>
      </w:r>
      <w:r w:rsidRPr="00A122A7">
        <w:rPr>
          <w:rFonts w:ascii="Times New Roman" w:hAnsi="Times New Roman" w:cs="Times New Roman"/>
        </w:rPr>
        <w:t xml:space="preserve"> </w:t>
      </w:r>
      <w:r w:rsidR="00A34E77" w:rsidRPr="00E65B37">
        <w:rPr>
          <w:rFonts w:ascii="Times New Roman" w:eastAsia="Malgun Gothic" w:hAnsi="Times New Roman" w:cs="Times New Roman"/>
          <w:i/>
          <w:iCs/>
        </w:rPr>
        <w:t>Elmer Miller Inc.</w:t>
      </w:r>
      <w:r w:rsidR="00A34E77" w:rsidRPr="00E65B37">
        <w:rPr>
          <w:rFonts w:ascii="Times New Roman" w:eastAsia="Malgun Gothic" w:hAnsi="Times New Roman" w:cs="Times New Roman"/>
        </w:rPr>
        <w:t xml:space="preserve"> </w:t>
      </w:r>
      <w:r w:rsidR="00A34E77" w:rsidRPr="00E65B37">
        <w:rPr>
          <w:rFonts w:ascii="Times New Roman" w:eastAsia="Malgun Gothic" w:hAnsi="Times New Roman" w:cs="Times New Roman"/>
          <w:i/>
          <w:iCs/>
        </w:rPr>
        <w:t xml:space="preserve">v Landis, </w:t>
      </w:r>
      <w:r w:rsidR="00A34E77" w:rsidRPr="00E65B37">
        <w:rPr>
          <w:rFonts w:ascii="Times New Roman" w:eastAsia="Malgun Gothic" w:hAnsi="Times New Roman" w:cs="Times New Roman"/>
        </w:rPr>
        <w:t>253 Ill. App. 3d 129, 134, 625 N.E. 2d, 338, 342 (1</w:t>
      </w:r>
      <w:r w:rsidR="00A34E77" w:rsidRPr="00E65B37">
        <w:rPr>
          <w:rFonts w:ascii="Times New Roman" w:eastAsia="Malgun Gothic" w:hAnsi="Times New Roman" w:cs="Times New Roman"/>
          <w:vertAlign w:val="superscript"/>
        </w:rPr>
        <w:t>st</w:t>
      </w:r>
      <w:r w:rsidR="00A34E77" w:rsidRPr="00E65B37">
        <w:rPr>
          <w:rFonts w:ascii="Times New Roman" w:eastAsia="Malgun Gothic" w:hAnsi="Times New Roman" w:cs="Times New Roman"/>
        </w:rPr>
        <w:t xml:space="preserve"> Dist. 1993)</w:t>
      </w:r>
      <w:r w:rsidR="00A34E77">
        <w:rPr>
          <w:rFonts w:ascii="Times New Roman" w:eastAsia="Malgun Gothic" w:hAnsi="Times New Roman" w:cs="Times New Roman"/>
        </w:rPr>
        <w:t>.</w:t>
      </w:r>
    </w:p>
  </w:footnote>
  <w:footnote w:id="40">
    <w:p w:rsidR="00343BD3" w:rsidRPr="00343BD3" w:rsidRDefault="00343BD3" w:rsidP="00343BD3">
      <w:pPr>
        <w:spacing w:line="480" w:lineRule="auto"/>
        <w:rPr>
          <w:rFonts w:ascii="Times New Roman" w:eastAsia="Malgun Gothic" w:hAnsi="Times New Roman" w:cs="Times New Roman"/>
          <w:sz w:val="20"/>
          <w:szCs w:val="20"/>
        </w:rPr>
      </w:pPr>
      <w:r w:rsidRPr="00343BD3">
        <w:rPr>
          <w:rStyle w:val="FootnoteReference"/>
          <w:rFonts w:ascii="Times New Roman" w:hAnsi="Times New Roman" w:cs="Times New Roman"/>
          <w:sz w:val="20"/>
          <w:szCs w:val="20"/>
        </w:rPr>
        <w:footnoteRef/>
      </w:r>
      <w:r>
        <w:t xml:space="preserve"> </w:t>
      </w:r>
      <w:r w:rsidRPr="00A122A7">
        <w:rPr>
          <w:rFonts w:ascii="Times New Roman" w:eastAsia="Malgun Gothic" w:hAnsi="Times New Roman" w:cs="Times New Roman"/>
          <w:i/>
          <w:iCs/>
          <w:sz w:val="20"/>
          <w:szCs w:val="20"/>
        </w:rPr>
        <w:t xml:space="preserve">Jackson v Hammer, </w:t>
      </w:r>
      <w:r w:rsidRPr="00A122A7">
        <w:rPr>
          <w:rFonts w:ascii="Times New Roman" w:eastAsia="Malgun Gothic" w:hAnsi="Times New Roman" w:cs="Times New Roman"/>
          <w:sz w:val="20"/>
          <w:szCs w:val="20"/>
        </w:rPr>
        <w:t>274, Ill. App. 3d, 59, 67, 652 N.E. 2d, 809, 815 (4</w:t>
      </w:r>
      <w:r w:rsidRPr="00A122A7">
        <w:rPr>
          <w:rFonts w:ascii="Times New Roman" w:eastAsia="Malgun Gothic" w:hAnsi="Times New Roman" w:cs="Times New Roman"/>
          <w:sz w:val="20"/>
          <w:szCs w:val="20"/>
          <w:vertAlign w:val="superscript"/>
        </w:rPr>
        <w:t>th</w:t>
      </w:r>
      <w:r w:rsidRPr="00A122A7">
        <w:rPr>
          <w:rFonts w:ascii="Times New Roman" w:eastAsia="Malgun Gothic" w:hAnsi="Times New Roman" w:cs="Times New Roman"/>
          <w:sz w:val="20"/>
          <w:szCs w:val="20"/>
        </w:rPr>
        <w:t xml:space="preserve"> Dist. 1995)</w:t>
      </w:r>
      <w:r>
        <w:rPr>
          <w:rFonts w:ascii="Times New Roman" w:eastAsia="Malgun Gothic" w:hAnsi="Times New Roman" w:cs="Times New Roman"/>
          <w:sz w:val="20"/>
          <w:szCs w:val="20"/>
        </w:rPr>
        <w:t>.</w:t>
      </w:r>
    </w:p>
  </w:footnote>
  <w:footnote w:id="41">
    <w:p w:rsidR="000D5272" w:rsidRPr="00511535" w:rsidRDefault="000D5272" w:rsidP="000D5272">
      <w:pPr>
        <w:spacing w:line="480" w:lineRule="auto"/>
        <w:rPr>
          <w:rFonts w:ascii="Times New Roman" w:eastAsia="Malgun Gothic" w:hAnsi="Times New Roman" w:cs="Times New Roman"/>
          <w:sz w:val="20"/>
          <w:szCs w:val="20"/>
        </w:rPr>
      </w:pPr>
      <w:r w:rsidRPr="00A122A7">
        <w:rPr>
          <w:rStyle w:val="FootnoteReference"/>
          <w:rFonts w:ascii="Times New Roman" w:hAnsi="Times New Roman" w:cs="Times New Roman"/>
          <w:sz w:val="20"/>
          <w:szCs w:val="20"/>
        </w:rPr>
        <w:footnoteRef/>
      </w:r>
      <w:r w:rsidRPr="00A122A7">
        <w:rPr>
          <w:rFonts w:ascii="Times New Roman" w:hAnsi="Times New Roman" w:cs="Times New Roman"/>
          <w:sz w:val="20"/>
          <w:szCs w:val="20"/>
        </w:rPr>
        <w:t xml:space="preserve"> </w:t>
      </w:r>
      <w:r w:rsidRPr="00A122A7">
        <w:rPr>
          <w:rFonts w:ascii="Times New Roman" w:eastAsia="Malgun Gothic" w:hAnsi="Times New Roman" w:cs="Times New Roman"/>
          <w:i/>
          <w:iCs/>
          <w:sz w:val="20"/>
          <w:szCs w:val="20"/>
        </w:rPr>
        <w:t>Fail-Safe LLC v A.O.</w:t>
      </w:r>
      <w:r>
        <w:rPr>
          <w:rFonts w:ascii="Times New Roman" w:eastAsia="Malgun Gothic" w:hAnsi="Times New Roman" w:cs="Times New Roman"/>
          <w:i/>
          <w:iCs/>
          <w:sz w:val="20"/>
          <w:szCs w:val="20"/>
        </w:rPr>
        <w:t xml:space="preserve"> </w:t>
      </w:r>
      <w:r w:rsidRPr="00A122A7">
        <w:rPr>
          <w:rFonts w:ascii="Times New Roman" w:eastAsia="Malgun Gothic" w:hAnsi="Times New Roman" w:cs="Times New Roman"/>
          <w:i/>
          <w:iCs/>
          <w:sz w:val="20"/>
          <w:szCs w:val="20"/>
        </w:rPr>
        <w:t>Smith Corp.</w:t>
      </w:r>
      <w:r>
        <w:rPr>
          <w:rFonts w:ascii="Times New Roman" w:eastAsia="Malgun Gothic" w:hAnsi="Times New Roman" w:cs="Times New Roman"/>
          <w:sz w:val="20"/>
          <w:szCs w:val="20"/>
        </w:rPr>
        <w:t>,</w:t>
      </w:r>
      <w:r w:rsidRPr="00A122A7">
        <w:rPr>
          <w:rFonts w:ascii="Times New Roman" w:eastAsia="Malgun Gothic" w:hAnsi="Times New Roman" w:cs="Times New Roman"/>
          <w:i/>
          <w:iCs/>
          <w:sz w:val="20"/>
          <w:szCs w:val="20"/>
        </w:rPr>
        <w:t xml:space="preserve"> </w:t>
      </w:r>
      <w:r w:rsidRPr="00A122A7">
        <w:rPr>
          <w:rFonts w:ascii="Times New Roman" w:eastAsia="Malgun Gothic" w:hAnsi="Times New Roman" w:cs="Times New Roman"/>
          <w:sz w:val="20"/>
          <w:szCs w:val="20"/>
        </w:rPr>
        <w:t>674, F. 3d, 889 (7</w:t>
      </w:r>
      <w:r w:rsidRPr="00A122A7">
        <w:rPr>
          <w:rFonts w:ascii="Times New Roman" w:eastAsia="Malgun Gothic" w:hAnsi="Times New Roman" w:cs="Times New Roman"/>
          <w:sz w:val="20"/>
          <w:szCs w:val="20"/>
          <w:vertAlign w:val="superscript"/>
        </w:rPr>
        <w:t>th</w:t>
      </w:r>
      <w:r w:rsidRPr="00A122A7">
        <w:rPr>
          <w:rFonts w:ascii="Times New Roman" w:eastAsia="Malgun Gothic" w:hAnsi="Times New Roman" w:cs="Times New Roman"/>
          <w:sz w:val="20"/>
          <w:szCs w:val="20"/>
        </w:rPr>
        <w:t xml:space="preserve"> Cir. 2012)</w:t>
      </w:r>
      <w:r>
        <w:rPr>
          <w:rFonts w:ascii="Times New Roman" w:eastAsia="Malgun Gothic" w:hAnsi="Times New Roman" w:cs="Times New Roman"/>
          <w:sz w:val="20"/>
          <w:szCs w:val="20"/>
        </w:rPr>
        <w:t>.</w:t>
      </w:r>
    </w:p>
  </w:footnote>
  <w:footnote w:id="42">
    <w:p w:rsidR="00A122A7" w:rsidRPr="00A122A7" w:rsidRDefault="00A122A7" w:rsidP="005B2AA7">
      <w:pPr>
        <w:pStyle w:val="FootnoteText"/>
        <w:spacing w:line="480" w:lineRule="auto"/>
        <w:rPr>
          <w:rFonts w:ascii="Times New Roman" w:hAnsi="Times New Roman" w:cs="Times New Roman"/>
        </w:rPr>
      </w:pPr>
      <w:r w:rsidRPr="00A122A7">
        <w:rPr>
          <w:rStyle w:val="FootnoteReference"/>
          <w:rFonts w:ascii="Times New Roman" w:hAnsi="Times New Roman" w:cs="Times New Roman"/>
        </w:rPr>
        <w:footnoteRef/>
      </w:r>
      <w:r w:rsidRPr="00A122A7">
        <w:rPr>
          <w:rFonts w:ascii="Times New Roman" w:hAnsi="Times New Roman" w:cs="Times New Roman"/>
        </w:rPr>
        <w:t xml:space="preserve"> </w:t>
      </w:r>
      <w:r w:rsidR="005B2AA7">
        <w:rPr>
          <w:rFonts w:ascii="Times New Roman" w:hAnsi="Times New Roman" w:cs="Times New Roman"/>
        </w:rPr>
        <w:t xml:space="preserve">See </w:t>
      </w:r>
      <w:r w:rsidR="00CC1865">
        <w:rPr>
          <w:rFonts w:ascii="Times New Roman" w:hAnsi="Times New Roman" w:cs="Times New Roman"/>
        </w:rPr>
        <w:t>Commission R</w:t>
      </w:r>
      <w:r w:rsidR="005B2AA7">
        <w:rPr>
          <w:rFonts w:ascii="Times New Roman" w:hAnsi="Times New Roman" w:cs="Times New Roman"/>
        </w:rPr>
        <w:t xml:space="preserve">esponse to the </w:t>
      </w:r>
      <w:r w:rsidR="005B2AA7" w:rsidRPr="00073E4E">
        <w:rPr>
          <w:rFonts w:ascii="Times New Roman" w:hAnsi="Times New Roman" w:cs="Times New Roman"/>
        </w:rPr>
        <w:t xml:space="preserve">Report prepared for the EU Commission contract number MARKT/2011/128D, </w:t>
      </w:r>
      <w:r w:rsidR="005B2AA7" w:rsidRPr="00073E4E">
        <w:rPr>
          <w:rFonts w:ascii="Times New Roman" w:hAnsi="Times New Roman" w:cs="Times New Roman"/>
          <w:i/>
          <w:iCs/>
        </w:rPr>
        <w:t xml:space="preserve">Study on Trade Secrets and Confidential Business Information in the Internal Market </w:t>
      </w:r>
      <w:r w:rsidR="005B2AA7" w:rsidRPr="00073E4E">
        <w:rPr>
          <w:rFonts w:ascii="Times New Roman" w:hAnsi="Times New Roman" w:cs="Times New Roman"/>
        </w:rPr>
        <w:t>(</w:t>
      </w:r>
      <w:proofErr w:type="spellStart"/>
      <w:r w:rsidR="005B2AA7" w:rsidRPr="00073E4E">
        <w:rPr>
          <w:rFonts w:ascii="Times New Roman" w:hAnsi="Times New Roman" w:cs="Times New Roman"/>
        </w:rPr>
        <w:t>Ref.Ares</w:t>
      </w:r>
      <w:proofErr w:type="spellEnd"/>
      <w:r w:rsidR="005B2AA7" w:rsidRPr="00073E4E">
        <w:rPr>
          <w:rFonts w:ascii="Times New Roman" w:hAnsi="Times New Roman" w:cs="Times New Roman"/>
        </w:rPr>
        <w:t>(2016)98815 – 08/01/2016, April 2013)</w:t>
      </w:r>
      <w:r w:rsidR="00775F48">
        <w:rPr>
          <w:rFonts w:ascii="Times New Roman" w:hAnsi="Times New Roman" w:cs="Times New Roman"/>
        </w:rPr>
        <w:t>.</w:t>
      </w:r>
    </w:p>
  </w:footnote>
  <w:footnote w:id="43">
    <w:p w:rsidR="00A122A7" w:rsidRPr="00416FE0" w:rsidRDefault="00A122A7" w:rsidP="00511535">
      <w:pPr>
        <w:pStyle w:val="FootnoteText"/>
        <w:spacing w:line="480" w:lineRule="auto"/>
        <w:rPr>
          <w:rFonts w:ascii="Times New Roman" w:hAnsi="Times New Roman" w:cs="Times New Roman"/>
        </w:rPr>
      </w:pPr>
      <w:r w:rsidRPr="00416FE0">
        <w:rPr>
          <w:rStyle w:val="FootnoteReference"/>
          <w:rFonts w:ascii="Times New Roman" w:hAnsi="Times New Roman" w:cs="Times New Roman"/>
        </w:rPr>
        <w:footnoteRef/>
      </w:r>
      <w:r w:rsidRPr="00416FE0">
        <w:rPr>
          <w:rFonts w:ascii="Times New Roman" w:hAnsi="Times New Roman" w:cs="Times New Roman"/>
        </w:rPr>
        <w:t xml:space="preserve"> 130 Stat. 376</w:t>
      </w:r>
      <w:r w:rsidR="00775F48">
        <w:rPr>
          <w:rFonts w:ascii="Times New Roman" w:hAnsi="Times New Roman" w:cs="Times New Roman"/>
        </w:rPr>
        <w:t>.</w:t>
      </w:r>
    </w:p>
  </w:footnote>
  <w:footnote w:id="44">
    <w:p w:rsidR="00A122A7" w:rsidRPr="00416FE0" w:rsidRDefault="00A122A7" w:rsidP="00511535">
      <w:pPr>
        <w:spacing w:line="480" w:lineRule="auto"/>
        <w:rPr>
          <w:rFonts w:ascii="Times New Roman" w:eastAsia="Times New Roman" w:hAnsi="Times New Roman" w:cs="Times New Roman"/>
          <w:sz w:val="20"/>
          <w:szCs w:val="20"/>
          <w:lang w:eastAsia="en-GB"/>
        </w:rPr>
      </w:pPr>
      <w:r w:rsidRPr="00416FE0">
        <w:rPr>
          <w:rStyle w:val="FootnoteReference"/>
          <w:rFonts w:ascii="Times New Roman" w:hAnsi="Times New Roman" w:cs="Times New Roman"/>
          <w:sz w:val="20"/>
          <w:szCs w:val="20"/>
        </w:rPr>
        <w:footnoteRef/>
      </w:r>
      <w:r w:rsidRPr="00416FE0">
        <w:rPr>
          <w:rFonts w:ascii="Times New Roman" w:hAnsi="Times New Roman" w:cs="Times New Roman"/>
          <w:sz w:val="20"/>
          <w:szCs w:val="20"/>
        </w:rPr>
        <w:t xml:space="preserve"> </w:t>
      </w:r>
      <w:r w:rsidR="006D0EA1">
        <w:rPr>
          <w:rFonts w:ascii="Times New Roman" w:hAnsi="Times New Roman" w:cs="Times New Roman"/>
          <w:sz w:val="20"/>
          <w:szCs w:val="20"/>
        </w:rPr>
        <w:t xml:space="preserve">See e.g. </w:t>
      </w:r>
      <w:r w:rsidRPr="00416FE0">
        <w:rPr>
          <w:rFonts w:ascii="Times New Roman" w:eastAsia="Times New Roman" w:hAnsi="Times New Roman" w:cs="Times New Roman"/>
          <w:color w:val="333333"/>
          <w:sz w:val="20"/>
          <w:szCs w:val="20"/>
          <w:shd w:val="clear" w:color="auto" w:fill="FFFFFF"/>
          <w:lang w:eastAsia="en-GB"/>
        </w:rPr>
        <w:t>Oxford v Moss [1</w:t>
      </w:r>
      <w:r w:rsidR="005E26D1">
        <w:rPr>
          <w:rFonts w:ascii="Times New Roman" w:eastAsia="Times New Roman" w:hAnsi="Times New Roman" w:cs="Times New Roman"/>
          <w:color w:val="333333"/>
          <w:sz w:val="20"/>
          <w:szCs w:val="20"/>
          <w:shd w:val="clear" w:color="auto" w:fill="FFFFFF"/>
          <w:lang w:eastAsia="en-GB"/>
        </w:rPr>
        <w:t>9</w:t>
      </w:r>
      <w:r w:rsidRPr="00416FE0">
        <w:rPr>
          <w:rFonts w:ascii="Times New Roman" w:eastAsia="Times New Roman" w:hAnsi="Times New Roman" w:cs="Times New Roman"/>
          <w:color w:val="333333"/>
          <w:sz w:val="20"/>
          <w:szCs w:val="20"/>
          <w:shd w:val="clear" w:color="auto" w:fill="FFFFFF"/>
          <w:lang w:eastAsia="en-GB"/>
        </w:rPr>
        <w:t>79] 68 Cr App R 183</w:t>
      </w:r>
      <w:r w:rsidR="00775F48">
        <w:rPr>
          <w:rFonts w:ascii="Times New Roman" w:eastAsia="Times New Roman" w:hAnsi="Times New Roman" w:cs="Times New Roman"/>
          <w:color w:val="333333"/>
          <w:sz w:val="20"/>
          <w:szCs w:val="20"/>
          <w:shd w:val="clear" w:color="auto" w:fill="FFFFFF"/>
          <w:lang w:eastAsia="en-GB"/>
        </w:rPr>
        <w:t>.</w:t>
      </w:r>
    </w:p>
  </w:footnote>
  <w:footnote w:id="45">
    <w:p w:rsidR="005237F6" w:rsidRPr="005237F6" w:rsidRDefault="005237F6" w:rsidP="00511535">
      <w:pPr>
        <w:pStyle w:val="FootnoteText"/>
        <w:spacing w:line="480" w:lineRule="auto"/>
        <w:rPr>
          <w:rFonts w:ascii="Times New Roman" w:hAnsi="Times New Roman" w:cs="Times New Roman"/>
        </w:rPr>
      </w:pPr>
      <w:r w:rsidRPr="005237F6">
        <w:rPr>
          <w:rStyle w:val="FootnoteReference"/>
          <w:rFonts w:ascii="Times New Roman" w:hAnsi="Times New Roman" w:cs="Times New Roman"/>
        </w:rPr>
        <w:footnoteRef/>
      </w:r>
      <w:r w:rsidRPr="005237F6">
        <w:rPr>
          <w:rFonts w:ascii="Times New Roman" w:hAnsi="Times New Roman" w:cs="Times New Roman"/>
        </w:rPr>
        <w:t xml:space="preserve"> Op. cit. n. </w:t>
      </w:r>
      <w:r w:rsidR="00CC1865">
        <w:rPr>
          <w:rFonts w:ascii="Times New Roman" w:hAnsi="Times New Roman" w:cs="Times New Roman"/>
        </w:rPr>
        <w:t>5</w:t>
      </w:r>
      <w:r w:rsidR="00775F48">
        <w:rPr>
          <w:rFonts w:ascii="Times New Roman" w:hAnsi="Times New Roman" w:cs="Times New Roman"/>
        </w:rPr>
        <w:t>.</w:t>
      </w:r>
    </w:p>
  </w:footnote>
  <w:footnote w:id="46">
    <w:p w:rsidR="00A122A7" w:rsidRPr="00416FE0" w:rsidRDefault="00A122A7" w:rsidP="00511535">
      <w:pPr>
        <w:pStyle w:val="FootnoteText"/>
        <w:spacing w:line="480" w:lineRule="auto"/>
        <w:rPr>
          <w:rFonts w:ascii="Times New Roman" w:hAnsi="Times New Roman" w:cs="Times New Roman"/>
        </w:rPr>
      </w:pPr>
      <w:r w:rsidRPr="00416FE0">
        <w:rPr>
          <w:rStyle w:val="FootnoteReference"/>
          <w:rFonts w:ascii="Times New Roman" w:hAnsi="Times New Roman" w:cs="Times New Roman"/>
        </w:rPr>
        <w:footnoteRef/>
      </w:r>
      <w:r w:rsidRPr="00416FE0">
        <w:rPr>
          <w:rFonts w:ascii="Times New Roman" w:hAnsi="Times New Roman" w:cs="Times New Roman"/>
        </w:rPr>
        <w:t xml:space="preserve"> Section 4(1) Theft Act 1968</w:t>
      </w:r>
      <w:r w:rsidR="00775F48">
        <w:rPr>
          <w:rFonts w:ascii="Times New Roman" w:hAnsi="Times New Roman" w:cs="Times New Roman"/>
        </w:rPr>
        <w:t>.</w:t>
      </w:r>
    </w:p>
  </w:footnote>
  <w:footnote w:id="47">
    <w:p w:rsidR="00A122A7" w:rsidRPr="00416FE0" w:rsidRDefault="00A122A7" w:rsidP="00511535">
      <w:pPr>
        <w:spacing w:line="480" w:lineRule="auto"/>
        <w:rPr>
          <w:rFonts w:ascii="Times New Roman" w:hAnsi="Times New Roman" w:cs="Times New Roman"/>
          <w:sz w:val="20"/>
          <w:szCs w:val="20"/>
        </w:rPr>
      </w:pPr>
      <w:r w:rsidRPr="00416FE0">
        <w:rPr>
          <w:rStyle w:val="FootnoteReference"/>
          <w:rFonts w:ascii="Times New Roman" w:hAnsi="Times New Roman" w:cs="Times New Roman"/>
          <w:sz w:val="20"/>
          <w:szCs w:val="20"/>
        </w:rPr>
        <w:footnoteRef/>
      </w:r>
      <w:r w:rsidRPr="00416FE0">
        <w:rPr>
          <w:rFonts w:ascii="Times New Roman" w:hAnsi="Times New Roman" w:cs="Times New Roman"/>
          <w:sz w:val="20"/>
          <w:szCs w:val="20"/>
        </w:rPr>
        <w:t xml:space="preserve"> Hansard (HC) 13 December 1968, vol 775, col 806</w:t>
      </w:r>
      <w:r w:rsidR="00775F48">
        <w:rPr>
          <w:rFonts w:ascii="Times New Roman" w:hAnsi="Times New Roman" w:cs="Times New Roman"/>
          <w:sz w:val="20"/>
          <w:szCs w:val="20"/>
        </w:rPr>
        <w:t>.</w:t>
      </w:r>
    </w:p>
  </w:footnote>
  <w:footnote w:id="48">
    <w:p w:rsidR="00A122A7" w:rsidRPr="00416FE0" w:rsidRDefault="00A122A7" w:rsidP="00416FE0">
      <w:pPr>
        <w:pStyle w:val="FootnoteText"/>
        <w:spacing w:line="480" w:lineRule="auto"/>
        <w:rPr>
          <w:rFonts w:ascii="Times New Roman" w:hAnsi="Times New Roman" w:cs="Times New Roman"/>
        </w:rPr>
      </w:pPr>
      <w:r w:rsidRPr="00416FE0">
        <w:rPr>
          <w:rStyle w:val="FootnoteReference"/>
          <w:rFonts w:ascii="Times New Roman" w:hAnsi="Times New Roman" w:cs="Times New Roman"/>
        </w:rPr>
        <w:footnoteRef/>
      </w:r>
      <w:r w:rsidRPr="00416FE0">
        <w:rPr>
          <w:rFonts w:ascii="Times New Roman" w:hAnsi="Times New Roman" w:cs="Times New Roman"/>
        </w:rPr>
        <w:t xml:space="preserve"> UK Intellectual Property Office, </w:t>
      </w:r>
      <w:r w:rsidRPr="00416FE0">
        <w:rPr>
          <w:rFonts w:ascii="Times New Roman" w:hAnsi="Times New Roman" w:cs="Times New Roman"/>
          <w:i/>
          <w:iCs/>
        </w:rPr>
        <w:t>Consultation on draft regulations concerning trade secrets</w:t>
      </w:r>
      <w:r w:rsidRPr="00416FE0">
        <w:rPr>
          <w:rFonts w:ascii="Times New Roman" w:hAnsi="Times New Roman" w:cs="Times New Roman"/>
        </w:rPr>
        <w:t>, at 10</w:t>
      </w:r>
      <w:r w:rsidR="00775F48">
        <w:rPr>
          <w:rFonts w:ascii="Times New Roman" w:hAnsi="Times New Roman" w:cs="Times New Roman"/>
        </w:rPr>
        <w:t>.</w:t>
      </w:r>
    </w:p>
  </w:footnote>
  <w:footnote w:id="49">
    <w:p w:rsidR="00A122A7" w:rsidRPr="00416FE0" w:rsidRDefault="00A122A7" w:rsidP="00416FE0">
      <w:pPr>
        <w:pStyle w:val="FootnoteText"/>
        <w:spacing w:line="480" w:lineRule="auto"/>
        <w:rPr>
          <w:rFonts w:ascii="Times New Roman" w:hAnsi="Times New Roman" w:cs="Times New Roman"/>
        </w:rPr>
      </w:pPr>
      <w:r w:rsidRPr="00416FE0">
        <w:rPr>
          <w:rStyle w:val="FootnoteReference"/>
          <w:rFonts w:ascii="Times New Roman" w:hAnsi="Times New Roman" w:cs="Times New Roman"/>
        </w:rPr>
        <w:footnoteRef/>
      </w:r>
      <w:r w:rsidRPr="00416FE0">
        <w:rPr>
          <w:rFonts w:ascii="Times New Roman" w:hAnsi="Times New Roman" w:cs="Times New Roman"/>
        </w:rPr>
        <w:t xml:space="preserve"> T</w:t>
      </w:r>
      <w:r w:rsidR="00775F48">
        <w:rPr>
          <w:rFonts w:ascii="Times New Roman" w:hAnsi="Times New Roman" w:cs="Times New Roman"/>
        </w:rPr>
        <w:t>.</w:t>
      </w:r>
      <w:r w:rsidRPr="00416FE0">
        <w:rPr>
          <w:rFonts w:ascii="Times New Roman" w:hAnsi="Times New Roman" w:cs="Times New Roman"/>
        </w:rPr>
        <w:t xml:space="preserve"> </w:t>
      </w:r>
      <w:proofErr w:type="spellStart"/>
      <w:r w:rsidRPr="00416FE0">
        <w:rPr>
          <w:rFonts w:ascii="Times New Roman" w:hAnsi="Times New Roman" w:cs="Times New Roman"/>
        </w:rPr>
        <w:t>Aplin</w:t>
      </w:r>
      <w:proofErr w:type="spellEnd"/>
      <w:r w:rsidRPr="00416FE0">
        <w:rPr>
          <w:rFonts w:ascii="Times New Roman" w:hAnsi="Times New Roman" w:cs="Times New Roman"/>
        </w:rPr>
        <w:t>, L</w:t>
      </w:r>
      <w:r w:rsidR="00775F48">
        <w:rPr>
          <w:rFonts w:ascii="Times New Roman" w:hAnsi="Times New Roman" w:cs="Times New Roman"/>
        </w:rPr>
        <w:t>.</w:t>
      </w:r>
      <w:r w:rsidRPr="00416FE0">
        <w:rPr>
          <w:rFonts w:ascii="Times New Roman" w:hAnsi="Times New Roman" w:cs="Times New Roman"/>
        </w:rPr>
        <w:t xml:space="preserve"> </w:t>
      </w:r>
      <w:proofErr w:type="spellStart"/>
      <w:r w:rsidRPr="00416FE0">
        <w:rPr>
          <w:rFonts w:ascii="Times New Roman" w:hAnsi="Times New Roman" w:cs="Times New Roman"/>
        </w:rPr>
        <w:t>Bently</w:t>
      </w:r>
      <w:proofErr w:type="spellEnd"/>
      <w:r w:rsidRPr="00416FE0">
        <w:rPr>
          <w:rFonts w:ascii="Times New Roman" w:hAnsi="Times New Roman" w:cs="Times New Roman"/>
        </w:rPr>
        <w:t>, P</w:t>
      </w:r>
      <w:r w:rsidR="00775F48">
        <w:rPr>
          <w:rFonts w:ascii="Times New Roman" w:hAnsi="Times New Roman" w:cs="Times New Roman"/>
        </w:rPr>
        <w:t>.</w:t>
      </w:r>
      <w:r w:rsidRPr="00416FE0">
        <w:rPr>
          <w:rFonts w:ascii="Times New Roman" w:hAnsi="Times New Roman" w:cs="Times New Roman"/>
        </w:rPr>
        <w:t xml:space="preserve"> Johnson</w:t>
      </w:r>
      <w:r w:rsidR="00775F48">
        <w:rPr>
          <w:rFonts w:ascii="Times New Roman" w:hAnsi="Times New Roman" w:cs="Times New Roman"/>
        </w:rPr>
        <w:t xml:space="preserve"> &amp;</w:t>
      </w:r>
      <w:r w:rsidRPr="00416FE0">
        <w:rPr>
          <w:rFonts w:ascii="Times New Roman" w:hAnsi="Times New Roman" w:cs="Times New Roman"/>
        </w:rPr>
        <w:t xml:space="preserve"> S</w:t>
      </w:r>
      <w:r w:rsidR="00775F48">
        <w:rPr>
          <w:rFonts w:ascii="Times New Roman" w:hAnsi="Times New Roman" w:cs="Times New Roman"/>
        </w:rPr>
        <w:t>.</w:t>
      </w:r>
      <w:r w:rsidRPr="00416FE0">
        <w:rPr>
          <w:rFonts w:ascii="Times New Roman" w:hAnsi="Times New Roman" w:cs="Times New Roman"/>
        </w:rPr>
        <w:t xml:space="preserve"> </w:t>
      </w:r>
      <w:proofErr w:type="spellStart"/>
      <w:r w:rsidRPr="00416FE0">
        <w:rPr>
          <w:rFonts w:ascii="Times New Roman" w:hAnsi="Times New Roman" w:cs="Times New Roman"/>
        </w:rPr>
        <w:t>Malynicz</w:t>
      </w:r>
      <w:proofErr w:type="spellEnd"/>
      <w:r w:rsidRPr="00416FE0">
        <w:rPr>
          <w:rFonts w:ascii="Times New Roman" w:hAnsi="Times New Roman" w:cs="Times New Roman"/>
        </w:rPr>
        <w:t xml:space="preserve">, </w:t>
      </w:r>
      <w:proofErr w:type="spellStart"/>
      <w:r w:rsidRPr="00416FE0">
        <w:rPr>
          <w:rFonts w:ascii="Times New Roman" w:hAnsi="Times New Roman" w:cs="Times New Roman"/>
          <w:i/>
          <w:iCs/>
        </w:rPr>
        <w:t>Gurry</w:t>
      </w:r>
      <w:proofErr w:type="spellEnd"/>
      <w:r w:rsidRPr="00416FE0">
        <w:rPr>
          <w:rFonts w:ascii="Times New Roman" w:hAnsi="Times New Roman" w:cs="Times New Roman"/>
          <w:i/>
          <w:iCs/>
        </w:rPr>
        <w:t xml:space="preserve"> on Breach of Confidence </w:t>
      </w:r>
      <w:r w:rsidRPr="00416FE0">
        <w:rPr>
          <w:rFonts w:ascii="Times New Roman" w:hAnsi="Times New Roman" w:cs="Times New Roman"/>
        </w:rPr>
        <w:t>(2</w:t>
      </w:r>
      <w:r w:rsidRPr="00416FE0">
        <w:rPr>
          <w:rFonts w:ascii="Times New Roman" w:hAnsi="Times New Roman" w:cs="Times New Roman"/>
          <w:vertAlign w:val="superscript"/>
        </w:rPr>
        <w:t>nd</w:t>
      </w:r>
      <w:r w:rsidRPr="00416FE0">
        <w:rPr>
          <w:rFonts w:ascii="Times New Roman" w:hAnsi="Times New Roman" w:cs="Times New Roman"/>
        </w:rPr>
        <w:t xml:space="preserve"> </w:t>
      </w:r>
      <w:proofErr w:type="spellStart"/>
      <w:r w:rsidRPr="00416FE0">
        <w:rPr>
          <w:rFonts w:ascii="Times New Roman" w:hAnsi="Times New Roman" w:cs="Times New Roman"/>
        </w:rPr>
        <w:t>edn</w:t>
      </w:r>
      <w:proofErr w:type="spellEnd"/>
      <w:r w:rsidRPr="00416FE0">
        <w:rPr>
          <w:rFonts w:ascii="Times New Roman" w:hAnsi="Times New Roman" w:cs="Times New Roman"/>
        </w:rPr>
        <w:t>. OUP 2012) at 6.06-7</w:t>
      </w:r>
      <w:r w:rsidR="00775F48">
        <w:rPr>
          <w:rFonts w:ascii="Times New Roman" w:hAnsi="Times New Roman" w:cs="Times New Roman"/>
        </w:rPr>
        <w:t>.</w:t>
      </w:r>
    </w:p>
  </w:footnote>
  <w:footnote w:id="50">
    <w:p w:rsidR="008F504E" w:rsidRDefault="008F504E" w:rsidP="008F504E">
      <w:pPr>
        <w:pStyle w:val="FootnoteText"/>
        <w:spacing w:line="480" w:lineRule="auto"/>
      </w:pPr>
      <w:r>
        <w:rPr>
          <w:rStyle w:val="FootnoteReference"/>
        </w:rPr>
        <w:footnoteRef/>
      </w:r>
      <w:r>
        <w:t xml:space="preserve"> </w:t>
      </w:r>
      <w:r w:rsidRPr="00AD45B8">
        <w:rPr>
          <w:rFonts w:ascii="Times New Roman" w:hAnsi="Times New Roman" w:cs="Times New Roman"/>
        </w:rPr>
        <w:t xml:space="preserve">See </w:t>
      </w:r>
      <w:r>
        <w:rPr>
          <w:rFonts w:ascii="Times New Roman" w:hAnsi="Times New Roman" w:cs="Times New Roman"/>
        </w:rPr>
        <w:t xml:space="preserve">e.g. </w:t>
      </w:r>
      <w:r w:rsidRPr="00AD45B8">
        <w:rPr>
          <w:rFonts w:ascii="Times New Roman" w:hAnsi="Times New Roman" w:cs="Times New Roman"/>
        </w:rPr>
        <w:t>Explanatory Memorandum to the Trade Secrets (Enforcement etc.) Regulations 2018 No.597 at 11.2</w:t>
      </w:r>
      <w:r>
        <w:rPr>
          <w:rFonts w:ascii="Times New Roman" w:hAnsi="Times New Roman" w:cs="Times New Roman"/>
        </w:rPr>
        <w:t>.</w:t>
      </w:r>
    </w:p>
  </w:footnote>
  <w:footnote w:id="51">
    <w:p w:rsidR="00A122A7" w:rsidRPr="00AD45B8" w:rsidRDefault="00A122A7" w:rsidP="00AD45B8">
      <w:pPr>
        <w:pStyle w:val="FootnoteText"/>
        <w:spacing w:line="480" w:lineRule="auto"/>
        <w:rPr>
          <w:rFonts w:ascii="Times New Roman" w:hAnsi="Times New Roman" w:cs="Times New Roman"/>
        </w:rPr>
      </w:pPr>
      <w:r w:rsidRPr="00AD45B8">
        <w:rPr>
          <w:rStyle w:val="FootnoteReference"/>
          <w:rFonts w:ascii="Times New Roman" w:hAnsi="Times New Roman" w:cs="Times New Roman"/>
        </w:rPr>
        <w:footnoteRef/>
      </w:r>
      <w:r w:rsidRPr="00AD45B8">
        <w:rPr>
          <w:rFonts w:ascii="Times New Roman" w:hAnsi="Times New Roman" w:cs="Times New Roman"/>
        </w:rPr>
        <w:t xml:space="preserve"> </w:t>
      </w:r>
      <w:r w:rsidRPr="00AD45B8">
        <w:rPr>
          <w:rFonts w:ascii="Times New Roman" w:eastAsia="Malgun Gothic" w:hAnsi="Times New Roman" w:cs="Times New Roman"/>
          <w:i/>
          <w:iCs/>
        </w:rPr>
        <w:t>Nordstrom Consulting Inc. v M&amp;S Tech</w:t>
      </w:r>
      <w:r w:rsidR="006E213B">
        <w:rPr>
          <w:rFonts w:ascii="Times New Roman" w:eastAsia="Malgun Gothic" w:hAnsi="Times New Roman" w:cs="Times New Roman"/>
          <w:i/>
          <w:iCs/>
        </w:rPr>
        <w:t>nologies</w:t>
      </w:r>
      <w:r w:rsidRPr="00AD45B8">
        <w:rPr>
          <w:rFonts w:ascii="Times New Roman" w:eastAsia="Malgun Gothic" w:hAnsi="Times New Roman" w:cs="Times New Roman"/>
          <w:i/>
          <w:iCs/>
        </w:rPr>
        <w:t>, Inc.</w:t>
      </w:r>
      <w:r w:rsidR="00775F48">
        <w:rPr>
          <w:rFonts w:ascii="Times New Roman" w:eastAsia="Malgun Gothic" w:hAnsi="Times New Roman" w:cs="Times New Roman"/>
        </w:rPr>
        <w:t>,</w:t>
      </w:r>
      <w:r w:rsidRPr="00AD45B8">
        <w:rPr>
          <w:rFonts w:ascii="Times New Roman" w:eastAsia="Malgun Gothic" w:hAnsi="Times New Roman" w:cs="Times New Roman"/>
          <w:i/>
          <w:iCs/>
        </w:rPr>
        <w:t xml:space="preserve"> </w:t>
      </w:r>
      <w:r w:rsidRPr="00AD45B8">
        <w:rPr>
          <w:rFonts w:ascii="Times New Roman" w:eastAsia="Malgun Gothic" w:hAnsi="Times New Roman" w:cs="Times New Roman"/>
        </w:rPr>
        <w:t>No. 06 C 3234, 2008, WL 623660 (</w:t>
      </w:r>
      <w:r w:rsidR="006E213B">
        <w:rPr>
          <w:rFonts w:ascii="Times New Roman" w:eastAsia="Malgun Gothic" w:hAnsi="Times New Roman" w:cs="Times New Roman"/>
        </w:rPr>
        <w:t>N</w:t>
      </w:r>
      <w:r w:rsidRPr="00AD45B8">
        <w:rPr>
          <w:rFonts w:ascii="Times New Roman" w:eastAsia="Malgun Gothic" w:hAnsi="Times New Roman" w:cs="Times New Roman"/>
        </w:rPr>
        <w:t xml:space="preserve">.D. Ill. Mar </w:t>
      </w:r>
      <w:proofErr w:type="gramStart"/>
      <w:r w:rsidRPr="00AD45B8">
        <w:rPr>
          <w:rFonts w:ascii="Times New Roman" w:eastAsia="Malgun Gothic" w:hAnsi="Times New Roman" w:cs="Times New Roman"/>
        </w:rPr>
        <w:t>4</w:t>
      </w:r>
      <w:proofErr w:type="gramEnd"/>
      <w:r w:rsidRPr="00AD45B8">
        <w:rPr>
          <w:rFonts w:ascii="Times New Roman" w:eastAsia="Malgun Gothic" w:hAnsi="Times New Roman" w:cs="Times New Roman"/>
        </w:rPr>
        <w:t xml:space="preserve"> 2008)</w:t>
      </w:r>
      <w:r w:rsidR="00775F48">
        <w:rPr>
          <w:rFonts w:ascii="Times New Roman" w:eastAsia="Malgun Gothic" w:hAnsi="Times New Roman" w:cs="Times New Roman"/>
        </w:rPr>
        <w:t>.</w:t>
      </w:r>
    </w:p>
  </w:footnote>
  <w:footnote w:id="52">
    <w:p w:rsidR="00A122A7" w:rsidRPr="00AD45B8" w:rsidRDefault="00A122A7" w:rsidP="00AD45B8">
      <w:pPr>
        <w:spacing w:line="480" w:lineRule="auto"/>
        <w:rPr>
          <w:rFonts w:ascii="Times New Roman" w:eastAsia="Malgun Gothic" w:hAnsi="Times New Roman" w:cs="Times New Roman"/>
          <w:sz w:val="20"/>
          <w:szCs w:val="20"/>
        </w:rPr>
      </w:pPr>
      <w:r w:rsidRPr="00AD45B8">
        <w:rPr>
          <w:rStyle w:val="FootnoteReference"/>
          <w:rFonts w:ascii="Times New Roman" w:hAnsi="Times New Roman" w:cs="Times New Roman"/>
          <w:sz w:val="20"/>
          <w:szCs w:val="20"/>
        </w:rPr>
        <w:footnoteRef/>
      </w:r>
      <w:r w:rsidRPr="00AD45B8">
        <w:rPr>
          <w:rFonts w:ascii="Times New Roman" w:hAnsi="Times New Roman" w:cs="Times New Roman"/>
          <w:sz w:val="20"/>
          <w:szCs w:val="20"/>
        </w:rPr>
        <w:t xml:space="preserve"> </w:t>
      </w:r>
      <w:r w:rsidRPr="00AD45B8">
        <w:rPr>
          <w:rFonts w:ascii="Times New Roman" w:eastAsia="Malgun Gothic" w:hAnsi="Times New Roman" w:cs="Times New Roman"/>
          <w:sz w:val="20"/>
          <w:szCs w:val="20"/>
        </w:rPr>
        <w:t>Regulation on the protection of natural persons with regard to the processing of personal data and on the free movement of such data, repealing Directive 95/46/EC (Data Protection Directive) General Data Protection Regulation (EU) 2016/679 (GDPR), 14 April 2016, implemented 25 May 2018</w:t>
      </w:r>
    </w:p>
    <w:p w:rsidR="00A122A7" w:rsidRDefault="00A122A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A7" w:rsidRDefault="00A12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A7" w:rsidRDefault="00A12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A7" w:rsidRDefault="00A12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97A"/>
    <w:multiLevelType w:val="hybridMultilevel"/>
    <w:tmpl w:val="FE409A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147A2"/>
    <w:multiLevelType w:val="hybridMultilevel"/>
    <w:tmpl w:val="C6A0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54C1A"/>
    <w:multiLevelType w:val="hybridMultilevel"/>
    <w:tmpl w:val="E5DCEDDA"/>
    <w:lvl w:ilvl="0" w:tplc="00A05958">
      <w:numFmt w:val="bullet"/>
      <w:lvlText w:val=""/>
      <w:lvlJc w:val="left"/>
      <w:pPr>
        <w:ind w:left="360" w:hanging="360"/>
      </w:pPr>
      <w:rPr>
        <w:rFonts w:ascii="Symbol" w:eastAsiaTheme="minorHAnsi" w:hAnsi="Symbol" w:cs="Times New Roman"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34841"/>
    <w:multiLevelType w:val="multilevel"/>
    <w:tmpl w:val="4ECA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A4225"/>
    <w:multiLevelType w:val="hybridMultilevel"/>
    <w:tmpl w:val="A5C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84181"/>
    <w:multiLevelType w:val="hybridMultilevel"/>
    <w:tmpl w:val="FF96B918"/>
    <w:lvl w:ilvl="0" w:tplc="9B3023C0">
      <w:numFmt w:val="bullet"/>
      <w:lvlText w:val=""/>
      <w:lvlJc w:val="left"/>
      <w:pPr>
        <w:ind w:left="720" w:hanging="360"/>
      </w:pPr>
      <w:rPr>
        <w:rFonts w:ascii="Symbol" w:eastAsiaTheme="minorHAnsi"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31BD7"/>
    <w:multiLevelType w:val="hybridMultilevel"/>
    <w:tmpl w:val="83E8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60570"/>
    <w:multiLevelType w:val="hybridMultilevel"/>
    <w:tmpl w:val="8894FA10"/>
    <w:lvl w:ilvl="0" w:tplc="4F1A0DFA">
      <w:numFmt w:val="bullet"/>
      <w:lvlText w:val=""/>
      <w:lvlJc w:val="left"/>
      <w:pPr>
        <w:ind w:left="400" w:hanging="360"/>
      </w:pPr>
      <w:rPr>
        <w:rFonts w:ascii="Wingdings" w:eastAsiaTheme="minorHAnsi" w:hAnsi="Wingdings"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8" w15:restartNumberingAfterBreak="0">
    <w:nsid w:val="30101A74"/>
    <w:multiLevelType w:val="hybridMultilevel"/>
    <w:tmpl w:val="DC08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44B66"/>
    <w:multiLevelType w:val="hybridMultilevel"/>
    <w:tmpl w:val="7A0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E4D73"/>
    <w:multiLevelType w:val="hybridMultilevel"/>
    <w:tmpl w:val="F78A2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C16945"/>
    <w:multiLevelType w:val="hybridMultilevel"/>
    <w:tmpl w:val="956A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C5DE6"/>
    <w:multiLevelType w:val="hybridMultilevel"/>
    <w:tmpl w:val="FD0C7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A5C0E"/>
    <w:multiLevelType w:val="hybridMultilevel"/>
    <w:tmpl w:val="98823D4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95A77"/>
    <w:multiLevelType w:val="hybridMultilevel"/>
    <w:tmpl w:val="819A95BA"/>
    <w:lvl w:ilvl="0" w:tplc="9A96F2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247EB"/>
    <w:multiLevelType w:val="hybridMultilevel"/>
    <w:tmpl w:val="FC2A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851CC"/>
    <w:multiLevelType w:val="hybridMultilevel"/>
    <w:tmpl w:val="8310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F673D"/>
    <w:multiLevelType w:val="hybridMultilevel"/>
    <w:tmpl w:val="C648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61C5D"/>
    <w:multiLevelType w:val="hybridMultilevel"/>
    <w:tmpl w:val="9F4A8688"/>
    <w:lvl w:ilvl="0" w:tplc="ABE84DA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15"/>
  </w:num>
  <w:num w:numId="2">
    <w:abstractNumId w:val="10"/>
  </w:num>
  <w:num w:numId="3">
    <w:abstractNumId w:val="4"/>
  </w:num>
  <w:num w:numId="4">
    <w:abstractNumId w:val="0"/>
  </w:num>
  <w:num w:numId="5">
    <w:abstractNumId w:val="17"/>
  </w:num>
  <w:num w:numId="6">
    <w:abstractNumId w:val="7"/>
  </w:num>
  <w:num w:numId="7">
    <w:abstractNumId w:val="11"/>
  </w:num>
  <w:num w:numId="8">
    <w:abstractNumId w:val="18"/>
  </w:num>
  <w:num w:numId="9">
    <w:abstractNumId w:val="1"/>
  </w:num>
  <w:num w:numId="10">
    <w:abstractNumId w:val="8"/>
  </w:num>
  <w:num w:numId="11">
    <w:abstractNumId w:val="6"/>
  </w:num>
  <w:num w:numId="12">
    <w:abstractNumId w:val="16"/>
  </w:num>
  <w:num w:numId="13">
    <w:abstractNumId w:val="14"/>
  </w:num>
  <w:num w:numId="14">
    <w:abstractNumId w:val="3"/>
  </w:num>
  <w:num w:numId="15">
    <w:abstractNumId w:val="9"/>
  </w:num>
  <w:num w:numId="16">
    <w:abstractNumId w:val="13"/>
  </w:num>
  <w:num w:numId="17">
    <w:abstractNumId w:val="2"/>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89"/>
    <w:rsid w:val="00005DC8"/>
    <w:rsid w:val="00010013"/>
    <w:rsid w:val="00013953"/>
    <w:rsid w:val="00017388"/>
    <w:rsid w:val="000256FE"/>
    <w:rsid w:val="000319CD"/>
    <w:rsid w:val="00031E7A"/>
    <w:rsid w:val="0003239A"/>
    <w:rsid w:val="0003682C"/>
    <w:rsid w:val="00037B3A"/>
    <w:rsid w:val="0004080A"/>
    <w:rsid w:val="00042D4B"/>
    <w:rsid w:val="00046001"/>
    <w:rsid w:val="0004749A"/>
    <w:rsid w:val="00047EF4"/>
    <w:rsid w:val="0005462D"/>
    <w:rsid w:val="000612C8"/>
    <w:rsid w:val="000679E6"/>
    <w:rsid w:val="00073E4E"/>
    <w:rsid w:val="00075834"/>
    <w:rsid w:val="00085F7B"/>
    <w:rsid w:val="00090F64"/>
    <w:rsid w:val="000925A5"/>
    <w:rsid w:val="00097033"/>
    <w:rsid w:val="000A3E06"/>
    <w:rsid w:val="000B0B5D"/>
    <w:rsid w:val="000B0C7F"/>
    <w:rsid w:val="000B1DA7"/>
    <w:rsid w:val="000B4CD2"/>
    <w:rsid w:val="000B554E"/>
    <w:rsid w:val="000B6834"/>
    <w:rsid w:val="000B6D8D"/>
    <w:rsid w:val="000C3480"/>
    <w:rsid w:val="000C3A55"/>
    <w:rsid w:val="000C60DE"/>
    <w:rsid w:val="000D044D"/>
    <w:rsid w:val="000D5272"/>
    <w:rsid w:val="000D6159"/>
    <w:rsid w:val="000D7E3D"/>
    <w:rsid w:val="000E427F"/>
    <w:rsid w:val="000E7ABF"/>
    <w:rsid w:val="001000BC"/>
    <w:rsid w:val="00103A0D"/>
    <w:rsid w:val="001133BA"/>
    <w:rsid w:val="001264EE"/>
    <w:rsid w:val="00126EF2"/>
    <w:rsid w:val="00131C6E"/>
    <w:rsid w:val="00137DF6"/>
    <w:rsid w:val="001428D2"/>
    <w:rsid w:val="00144CC9"/>
    <w:rsid w:val="0014571E"/>
    <w:rsid w:val="00151614"/>
    <w:rsid w:val="00152D7A"/>
    <w:rsid w:val="00153D9A"/>
    <w:rsid w:val="00155FE5"/>
    <w:rsid w:val="001564BC"/>
    <w:rsid w:val="0015672E"/>
    <w:rsid w:val="00161869"/>
    <w:rsid w:val="0016399D"/>
    <w:rsid w:val="00164A00"/>
    <w:rsid w:val="00165FC9"/>
    <w:rsid w:val="00170FA7"/>
    <w:rsid w:val="00172745"/>
    <w:rsid w:val="00173CEA"/>
    <w:rsid w:val="0017538B"/>
    <w:rsid w:val="0018170E"/>
    <w:rsid w:val="00184DB9"/>
    <w:rsid w:val="00195815"/>
    <w:rsid w:val="0019666B"/>
    <w:rsid w:val="001977A7"/>
    <w:rsid w:val="001A1B89"/>
    <w:rsid w:val="001A3219"/>
    <w:rsid w:val="001A360E"/>
    <w:rsid w:val="001A5CF6"/>
    <w:rsid w:val="001B386B"/>
    <w:rsid w:val="001B438A"/>
    <w:rsid w:val="001B71F1"/>
    <w:rsid w:val="001C00E6"/>
    <w:rsid w:val="001C2944"/>
    <w:rsid w:val="001C7E74"/>
    <w:rsid w:val="001D65CE"/>
    <w:rsid w:val="001D7DC6"/>
    <w:rsid w:val="001E0984"/>
    <w:rsid w:val="001E1A94"/>
    <w:rsid w:val="001E5039"/>
    <w:rsid w:val="001E625C"/>
    <w:rsid w:val="001F3F1B"/>
    <w:rsid w:val="001F5013"/>
    <w:rsid w:val="00205925"/>
    <w:rsid w:val="002078EB"/>
    <w:rsid w:val="002169FE"/>
    <w:rsid w:val="0021781C"/>
    <w:rsid w:val="00220935"/>
    <w:rsid w:val="00220EDD"/>
    <w:rsid w:val="00222340"/>
    <w:rsid w:val="0023074B"/>
    <w:rsid w:val="00231A0A"/>
    <w:rsid w:val="00235900"/>
    <w:rsid w:val="00236C2B"/>
    <w:rsid w:val="0023796C"/>
    <w:rsid w:val="002406EA"/>
    <w:rsid w:val="0024171F"/>
    <w:rsid w:val="00250471"/>
    <w:rsid w:val="00254550"/>
    <w:rsid w:val="00257217"/>
    <w:rsid w:val="00257DE1"/>
    <w:rsid w:val="00270714"/>
    <w:rsid w:val="00270F69"/>
    <w:rsid w:val="00271154"/>
    <w:rsid w:val="00275AFF"/>
    <w:rsid w:val="00277447"/>
    <w:rsid w:val="002809BC"/>
    <w:rsid w:val="00281B9C"/>
    <w:rsid w:val="002850F3"/>
    <w:rsid w:val="00286026"/>
    <w:rsid w:val="002879A9"/>
    <w:rsid w:val="00293E50"/>
    <w:rsid w:val="002A12AC"/>
    <w:rsid w:val="002A6588"/>
    <w:rsid w:val="002B3223"/>
    <w:rsid w:val="002B4838"/>
    <w:rsid w:val="002C2D89"/>
    <w:rsid w:val="002C47ED"/>
    <w:rsid w:val="002C491B"/>
    <w:rsid w:val="002C646F"/>
    <w:rsid w:val="002D33E4"/>
    <w:rsid w:val="002D34D9"/>
    <w:rsid w:val="002D4171"/>
    <w:rsid w:val="002D7490"/>
    <w:rsid w:val="002E1863"/>
    <w:rsid w:val="002E1D13"/>
    <w:rsid w:val="002F59F8"/>
    <w:rsid w:val="00300EB2"/>
    <w:rsid w:val="00301F7F"/>
    <w:rsid w:val="00304BC5"/>
    <w:rsid w:val="003105F0"/>
    <w:rsid w:val="00312DFE"/>
    <w:rsid w:val="00317AAA"/>
    <w:rsid w:val="00323835"/>
    <w:rsid w:val="00331CF3"/>
    <w:rsid w:val="0033740F"/>
    <w:rsid w:val="00341604"/>
    <w:rsid w:val="003429F4"/>
    <w:rsid w:val="00343BD3"/>
    <w:rsid w:val="00345D1E"/>
    <w:rsid w:val="00350F18"/>
    <w:rsid w:val="00351CC5"/>
    <w:rsid w:val="003542C2"/>
    <w:rsid w:val="00364A7F"/>
    <w:rsid w:val="00386E35"/>
    <w:rsid w:val="0039522E"/>
    <w:rsid w:val="0039645A"/>
    <w:rsid w:val="00396AB7"/>
    <w:rsid w:val="003A56F8"/>
    <w:rsid w:val="003B1314"/>
    <w:rsid w:val="003B321E"/>
    <w:rsid w:val="003B502F"/>
    <w:rsid w:val="003C19B4"/>
    <w:rsid w:val="003D21A4"/>
    <w:rsid w:val="003D5BF2"/>
    <w:rsid w:val="003D77F1"/>
    <w:rsid w:val="003F14BB"/>
    <w:rsid w:val="003F1D7A"/>
    <w:rsid w:val="00411B54"/>
    <w:rsid w:val="004124EB"/>
    <w:rsid w:val="004131E6"/>
    <w:rsid w:val="00413AC3"/>
    <w:rsid w:val="0041449B"/>
    <w:rsid w:val="00414755"/>
    <w:rsid w:val="00414ED4"/>
    <w:rsid w:val="00416FE0"/>
    <w:rsid w:val="004170C8"/>
    <w:rsid w:val="004238A5"/>
    <w:rsid w:val="004278A7"/>
    <w:rsid w:val="00437E9C"/>
    <w:rsid w:val="00437FDE"/>
    <w:rsid w:val="00441048"/>
    <w:rsid w:val="00441237"/>
    <w:rsid w:val="0044273B"/>
    <w:rsid w:val="00443179"/>
    <w:rsid w:val="0044576D"/>
    <w:rsid w:val="004527F7"/>
    <w:rsid w:val="00457919"/>
    <w:rsid w:val="0046113D"/>
    <w:rsid w:val="00475AA6"/>
    <w:rsid w:val="00481FE0"/>
    <w:rsid w:val="00482DB3"/>
    <w:rsid w:val="00490F25"/>
    <w:rsid w:val="004A27DC"/>
    <w:rsid w:val="004A2BEA"/>
    <w:rsid w:val="004A3D69"/>
    <w:rsid w:val="004A5EE3"/>
    <w:rsid w:val="004B204A"/>
    <w:rsid w:val="004B2C9A"/>
    <w:rsid w:val="004B3A2E"/>
    <w:rsid w:val="004B487D"/>
    <w:rsid w:val="004C2C2F"/>
    <w:rsid w:val="004C320A"/>
    <w:rsid w:val="004C41D2"/>
    <w:rsid w:val="004D0169"/>
    <w:rsid w:val="004D780C"/>
    <w:rsid w:val="004E27B1"/>
    <w:rsid w:val="004E4117"/>
    <w:rsid w:val="004E59F2"/>
    <w:rsid w:val="004E6DAC"/>
    <w:rsid w:val="004F48BE"/>
    <w:rsid w:val="00501E87"/>
    <w:rsid w:val="0050478D"/>
    <w:rsid w:val="005072FF"/>
    <w:rsid w:val="00511535"/>
    <w:rsid w:val="00513A64"/>
    <w:rsid w:val="00521394"/>
    <w:rsid w:val="005224F1"/>
    <w:rsid w:val="005237F6"/>
    <w:rsid w:val="0053518D"/>
    <w:rsid w:val="00536A34"/>
    <w:rsid w:val="00545762"/>
    <w:rsid w:val="0055388D"/>
    <w:rsid w:val="00560802"/>
    <w:rsid w:val="0056171D"/>
    <w:rsid w:val="00566CF6"/>
    <w:rsid w:val="0056721F"/>
    <w:rsid w:val="00571F57"/>
    <w:rsid w:val="00574FDD"/>
    <w:rsid w:val="0058139C"/>
    <w:rsid w:val="00593EE7"/>
    <w:rsid w:val="005A14C5"/>
    <w:rsid w:val="005A6B56"/>
    <w:rsid w:val="005B0245"/>
    <w:rsid w:val="005B06D0"/>
    <w:rsid w:val="005B0C16"/>
    <w:rsid w:val="005B1BC3"/>
    <w:rsid w:val="005B2AA7"/>
    <w:rsid w:val="005B3C55"/>
    <w:rsid w:val="005B5FB4"/>
    <w:rsid w:val="005B6EF0"/>
    <w:rsid w:val="005C1F9C"/>
    <w:rsid w:val="005C252B"/>
    <w:rsid w:val="005C44E9"/>
    <w:rsid w:val="005C5AB1"/>
    <w:rsid w:val="005D5C29"/>
    <w:rsid w:val="005D6AAA"/>
    <w:rsid w:val="005E1D09"/>
    <w:rsid w:val="005E265D"/>
    <w:rsid w:val="005E26D1"/>
    <w:rsid w:val="005E4F7C"/>
    <w:rsid w:val="005E5B26"/>
    <w:rsid w:val="005F67D2"/>
    <w:rsid w:val="005F7B50"/>
    <w:rsid w:val="00602064"/>
    <w:rsid w:val="006215CD"/>
    <w:rsid w:val="006303CB"/>
    <w:rsid w:val="00632D9B"/>
    <w:rsid w:val="00632F1F"/>
    <w:rsid w:val="006349D0"/>
    <w:rsid w:val="00640EDC"/>
    <w:rsid w:val="006429CA"/>
    <w:rsid w:val="00644950"/>
    <w:rsid w:val="00645F58"/>
    <w:rsid w:val="00651F86"/>
    <w:rsid w:val="00652666"/>
    <w:rsid w:val="00663AD0"/>
    <w:rsid w:val="00663B62"/>
    <w:rsid w:val="00665A28"/>
    <w:rsid w:val="00667587"/>
    <w:rsid w:val="00672AB6"/>
    <w:rsid w:val="00673936"/>
    <w:rsid w:val="006748B3"/>
    <w:rsid w:val="00674F00"/>
    <w:rsid w:val="00675042"/>
    <w:rsid w:val="00675EE6"/>
    <w:rsid w:val="00677147"/>
    <w:rsid w:val="006A110F"/>
    <w:rsid w:val="006A42F8"/>
    <w:rsid w:val="006A57A0"/>
    <w:rsid w:val="006A6822"/>
    <w:rsid w:val="006B5A71"/>
    <w:rsid w:val="006B6051"/>
    <w:rsid w:val="006C2CE7"/>
    <w:rsid w:val="006C7BC1"/>
    <w:rsid w:val="006D0EA1"/>
    <w:rsid w:val="006D23F4"/>
    <w:rsid w:val="006D459E"/>
    <w:rsid w:val="006D56B2"/>
    <w:rsid w:val="006D5DA9"/>
    <w:rsid w:val="006D7879"/>
    <w:rsid w:val="006E213B"/>
    <w:rsid w:val="006F2982"/>
    <w:rsid w:val="00702543"/>
    <w:rsid w:val="007045EC"/>
    <w:rsid w:val="0071784C"/>
    <w:rsid w:val="00717D2C"/>
    <w:rsid w:val="007275B4"/>
    <w:rsid w:val="00735BC1"/>
    <w:rsid w:val="00740FAD"/>
    <w:rsid w:val="0074214A"/>
    <w:rsid w:val="0074532F"/>
    <w:rsid w:val="00754488"/>
    <w:rsid w:val="00765B4E"/>
    <w:rsid w:val="00771BCF"/>
    <w:rsid w:val="00775F48"/>
    <w:rsid w:val="007771F2"/>
    <w:rsid w:val="00785297"/>
    <w:rsid w:val="00792FA8"/>
    <w:rsid w:val="00795502"/>
    <w:rsid w:val="00797515"/>
    <w:rsid w:val="007A0C57"/>
    <w:rsid w:val="007A37BB"/>
    <w:rsid w:val="007A5288"/>
    <w:rsid w:val="007B2B1C"/>
    <w:rsid w:val="007B4A17"/>
    <w:rsid w:val="007C02D3"/>
    <w:rsid w:val="007C1D48"/>
    <w:rsid w:val="007C27FC"/>
    <w:rsid w:val="007C3351"/>
    <w:rsid w:val="007C41BA"/>
    <w:rsid w:val="007D7481"/>
    <w:rsid w:val="007E39D3"/>
    <w:rsid w:val="007E6798"/>
    <w:rsid w:val="007F0317"/>
    <w:rsid w:val="007F20CD"/>
    <w:rsid w:val="007F2244"/>
    <w:rsid w:val="007F4AFD"/>
    <w:rsid w:val="007F5B73"/>
    <w:rsid w:val="00801399"/>
    <w:rsid w:val="00802288"/>
    <w:rsid w:val="00814A11"/>
    <w:rsid w:val="008174D2"/>
    <w:rsid w:val="0082081D"/>
    <w:rsid w:val="00821EFE"/>
    <w:rsid w:val="008232A3"/>
    <w:rsid w:val="00830502"/>
    <w:rsid w:val="008323A0"/>
    <w:rsid w:val="00833CE5"/>
    <w:rsid w:val="00835F22"/>
    <w:rsid w:val="008414EC"/>
    <w:rsid w:val="0084512E"/>
    <w:rsid w:val="008452EE"/>
    <w:rsid w:val="00845B12"/>
    <w:rsid w:val="0085115E"/>
    <w:rsid w:val="008526AE"/>
    <w:rsid w:val="00861E2F"/>
    <w:rsid w:val="00862E6B"/>
    <w:rsid w:val="008674A1"/>
    <w:rsid w:val="008732E4"/>
    <w:rsid w:val="00873F3A"/>
    <w:rsid w:val="00876105"/>
    <w:rsid w:val="00876A8F"/>
    <w:rsid w:val="00880543"/>
    <w:rsid w:val="008922AE"/>
    <w:rsid w:val="0089353C"/>
    <w:rsid w:val="008936A7"/>
    <w:rsid w:val="00893AA4"/>
    <w:rsid w:val="008A10CD"/>
    <w:rsid w:val="008A1B88"/>
    <w:rsid w:val="008A24A6"/>
    <w:rsid w:val="008A722B"/>
    <w:rsid w:val="008A7DF5"/>
    <w:rsid w:val="008C2979"/>
    <w:rsid w:val="008C2DE2"/>
    <w:rsid w:val="008C3D0B"/>
    <w:rsid w:val="008C4E54"/>
    <w:rsid w:val="008C51A0"/>
    <w:rsid w:val="008C5E8C"/>
    <w:rsid w:val="008C655F"/>
    <w:rsid w:val="008D355F"/>
    <w:rsid w:val="008D44FB"/>
    <w:rsid w:val="008D5656"/>
    <w:rsid w:val="008E4647"/>
    <w:rsid w:val="008E749B"/>
    <w:rsid w:val="008F2104"/>
    <w:rsid w:val="008F504E"/>
    <w:rsid w:val="008F7370"/>
    <w:rsid w:val="009015F6"/>
    <w:rsid w:val="009106E0"/>
    <w:rsid w:val="00920920"/>
    <w:rsid w:val="00922C2B"/>
    <w:rsid w:val="00933789"/>
    <w:rsid w:val="00933ED4"/>
    <w:rsid w:val="00937C04"/>
    <w:rsid w:val="00951894"/>
    <w:rsid w:val="00953D98"/>
    <w:rsid w:val="00955AF0"/>
    <w:rsid w:val="00967E66"/>
    <w:rsid w:val="00976189"/>
    <w:rsid w:val="009768A1"/>
    <w:rsid w:val="00985253"/>
    <w:rsid w:val="00986142"/>
    <w:rsid w:val="00994EE4"/>
    <w:rsid w:val="00995C8C"/>
    <w:rsid w:val="009975B3"/>
    <w:rsid w:val="009B00D1"/>
    <w:rsid w:val="009C0BDD"/>
    <w:rsid w:val="009C1972"/>
    <w:rsid w:val="009C3616"/>
    <w:rsid w:val="009D70A8"/>
    <w:rsid w:val="009E2350"/>
    <w:rsid w:val="009E5A49"/>
    <w:rsid w:val="009E6C49"/>
    <w:rsid w:val="009E72B6"/>
    <w:rsid w:val="009F088B"/>
    <w:rsid w:val="009F1B88"/>
    <w:rsid w:val="009F762D"/>
    <w:rsid w:val="00A00F03"/>
    <w:rsid w:val="00A122A7"/>
    <w:rsid w:val="00A145DA"/>
    <w:rsid w:val="00A236DE"/>
    <w:rsid w:val="00A25429"/>
    <w:rsid w:val="00A27215"/>
    <w:rsid w:val="00A310FE"/>
    <w:rsid w:val="00A32CDC"/>
    <w:rsid w:val="00A34E77"/>
    <w:rsid w:val="00A35F63"/>
    <w:rsid w:val="00A4165F"/>
    <w:rsid w:val="00A43E28"/>
    <w:rsid w:val="00A54BBA"/>
    <w:rsid w:val="00A64F5C"/>
    <w:rsid w:val="00A66B85"/>
    <w:rsid w:val="00A66C71"/>
    <w:rsid w:val="00A7146C"/>
    <w:rsid w:val="00A7378C"/>
    <w:rsid w:val="00A87F96"/>
    <w:rsid w:val="00A94C75"/>
    <w:rsid w:val="00A95BC2"/>
    <w:rsid w:val="00AA1723"/>
    <w:rsid w:val="00AA253B"/>
    <w:rsid w:val="00AA6872"/>
    <w:rsid w:val="00AA6D20"/>
    <w:rsid w:val="00AB101A"/>
    <w:rsid w:val="00AB14E9"/>
    <w:rsid w:val="00AD11C9"/>
    <w:rsid w:val="00AD1E51"/>
    <w:rsid w:val="00AD45B8"/>
    <w:rsid w:val="00AD768B"/>
    <w:rsid w:val="00AD7D0D"/>
    <w:rsid w:val="00AE6ED6"/>
    <w:rsid w:val="00B02EB8"/>
    <w:rsid w:val="00B07168"/>
    <w:rsid w:val="00B137EE"/>
    <w:rsid w:val="00B2145D"/>
    <w:rsid w:val="00B2351F"/>
    <w:rsid w:val="00B2585A"/>
    <w:rsid w:val="00B26210"/>
    <w:rsid w:val="00B26348"/>
    <w:rsid w:val="00B27CCD"/>
    <w:rsid w:val="00B27FBB"/>
    <w:rsid w:val="00B4573A"/>
    <w:rsid w:val="00B4650C"/>
    <w:rsid w:val="00B556D6"/>
    <w:rsid w:val="00B559E3"/>
    <w:rsid w:val="00B6074A"/>
    <w:rsid w:val="00B60C14"/>
    <w:rsid w:val="00B624AD"/>
    <w:rsid w:val="00B6699A"/>
    <w:rsid w:val="00B75068"/>
    <w:rsid w:val="00B75BBC"/>
    <w:rsid w:val="00B92016"/>
    <w:rsid w:val="00B939F4"/>
    <w:rsid w:val="00B93F38"/>
    <w:rsid w:val="00B94129"/>
    <w:rsid w:val="00BA1DF0"/>
    <w:rsid w:val="00BA1F06"/>
    <w:rsid w:val="00BA6B46"/>
    <w:rsid w:val="00BB39E7"/>
    <w:rsid w:val="00BC1222"/>
    <w:rsid w:val="00BC6933"/>
    <w:rsid w:val="00BD1D24"/>
    <w:rsid w:val="00BD41DF"/>
    <w:rsid w:val="00BD4E75"/>
    <w:rsid w:val="00BD5F86"/>
    <w:rsid w:val="00BF1B9D"/>
    <w:rsid w:val="00BF21B5"/>
    <w:rsid w:val="00C0423F"/>
    <w:rsid w:val="00C14F56"/>
    <w:rsid w:val="00C1551F"/>
    <w:rsid w:val="00C1642C"/>
    <w:rsid w:val="00C16638"/>
    <w:rsid w:val="00C16ED9"/>
    <w:rsid w:val="00C1714A"/>
    <w:rsid w:val="00C21112"/>
    <w:rsid w:val="00C22D0C"/>
    <w:rsid w:val="00C22F9B"/>
    <w:rsid w:val="00C23248"/>
    <w:rsid w:val="00C3133F"/>
    <w:rsid w:val="00C3387F"/>
    <w:rsid w:val="00C347D7"/>
    <w:rsid w:val="00C34EBC"/>
    <w:rsid w:val="00C37654"/>
    <w:rsid w:val="00C515F2"/>
    <w:rsid w:val="00C51E3D"/>
    <w:rsid w:val="00C521DD"/>
    <w:rsid w:val="00C53BD5"/>
    <w:rsid w:val="00C54959"/>
    <w:rsid w:val="00C55250"/>
    <w:rsid w:val="00C578D4"/>
    <w:rsid w:val="00C6725A"/>
    <w:rsid w:val="00C7074A"/>
    <w:rsid w:val="00C71B2C"/>
    <w:rsid w:val="00C72528"/>
    <w:rsid w:val="00C75620"/>
    <w:rsid w:val="00C76527"/>
    <w:rsid w:val="00C8171D"/>
    <w:rsid w:val="00C84475"/>
    <w:rsid w:val="00C8763F"/>
    <w:rsid w:val="00CA0F4B"/>
    <w:rsid w:val="00CA16F0"/>
    <w:rsid w:val="00CA2FBC"/>
    <w:rsid w:val="00CA4434"/>
    <w:rsid w:val="00CA4CE9"/>
    <w:rsid w:val="00CB47A2"/>
    <w:rsid w:val="00CB598B"/>
    <w:rsid w:val="00CC05A2"/>
    <w:rsid w:val="00CC1865"/>
    <w:rsid w:val="00CC3087"/>
    <w:rsid w:val="00CC3704"/>
    <w:rsid w:val="00CC7018"/>
    <w:rsid w:val="00CD0AA9"/>
    <w:rsid w:val="00CD3CB1"/>
    <w:rsid w:val="00CD3F08"/>
    <w:rsid w:val="00CE112A"/>
    <w:rsid w:val="00CE3646"/>
    <w:rsid w:val="00CF02C6"/>
    <w:rsid w:val="00CF0979"/>
    <w:rsid w:val="00CF229B"/>
    <w:rsid w:val="00CF3192"/>
    <w:rsid w:val="00D01739"/>
    <w:rsid w:val="00D03500"/>
    <w:rsid w:val="00D06549"/>
    <w:rsid w:val="00D11B43"/>
    <w:rsid w:val="00D167BB"/>
    <w:rsid w:val="00D1680C"/>
    <w:rsid w:val="00D24A02"/>
    <w:rsid w:val="00D27EBD"/>
    <w:rsid w:val="00D30CF1"/>
    <w:rsid w:val="00D33621"/>
    <w:rsid w:val="00D444C4"/>
    <w:rsid w:val="00D469B0"/>
    <w:rsid w:val="00D51B68"/>
    <w:rsid w:val="00D51BD1"/>
    <w:rsid w:val="00D60A34"/>
    <w:rsid w:val="00D63EC5"/>
    <w:rsid w:val="00D73F86"/>
    <w:rsid w:val="00D74D35"/>
    <w:rsid w:val="00D84C0A"/>
    <w:rsid w:val="00DA00E4"/>
    <w:rsid w:val="00DA3234"/>
    <w:rsid w:val="00DA60F9"/>
    <w:rsid w:val="00DA6B42"/>
    <w:rsid w:val="00DB439A"/>
    <w:rsid w:val="00DC0E54"/>
    <w:rsid w:val="00DC6367"/>
    <w:rsid w:val="00DC7414"/>
    <w:rsid w:val="00DC7A78"/>
    <w:rsid w:val="00DD10D5"/>
    <w:rsid w:val="00DD1CB4"/>
    <w:rsid w:val="00DD330A"/>
    <w:rsid w:val="00DE03C6"/>
    <w:rsid w:val="00DE3FF9"/>
    <w:rsid w:val="00E037A3"/>
    <w:rsid w:val="00E03BE1"/>
    <w:rsid w:val="00E10307"/>
    <w:rsid w:val="00E213A1"/>
    <w:rsid w:val="00E21C54"/>
    <w:rsid w:val="00E22C27"/>
    <w:rsid w:val="00E274C3"/>
    <w:rsid w:val="00E279AC"/>
    <w:rsid w:val="00E31C64"/>
    <w:rsid w:val="00E454E9"/>
    <w:rsid w:val="00E51484"/>
    <w:rsid w:val="00E53090"/>
    <w:rsid w:val="00E6074D"/>
    <w:rsid w:val="00E6328E"/>
    <w:rsid w:val="00E64864"/>
    <w:rsid w:val="00E65B37"/>
    <w:rsid w:val="00E73951"/>
    <w:rsid w:val="00E765DA"/>
    <w:rsid w:val="00E76D20"/>
    <w:rsid w:val="00E80EE2"/>
    <w:rsid w:val="00E84ED3"/>
    <w:rsid w:val="00E91F8A"/>
    <w:rsid w:val="00EA506A"/>
    <w:rsid w:val="00EB0FF5"/>
    <w:rsid w:val="00EB225C"/>
    <w:rsid w:val="00EB6AF9"/>
    <w:rsid w:val="00EC42BD"/>
    <w:rsid w:val="00EC577E"/>
    <w:rsid w:val="00ED7983"/>
    <w:rsid w:val="00EE023F"/>
    <w:rsid w:val="00EE2211"/>
    <w:rsid w:val="00EE508C"/>
    <w:rsid w:val="00EE5433"/>
    <w:rsid w:val="00EE5ED4"/>
    <w:rsid w:val="00EE7377"/>
    <w:rsid w:val="00EF364B"/>
    <w:rsid w:val="00EF7408"/>
    <w:rsid w:val="00F12923"/>
    <w:rsid w:val="00F129D4"/>
    <w:rsid w:val="00F16E76"/>
    <w:rsid w:val="00F237B1"/>
    <w:rsid w:val="00F245B6"/>
    <w:rsid w:val="00F24768"/>
    <w:rsid w:val="00F343AA"/>
    <w:rsid w:val="00F4418C"/>
    <w:rsid w:val="00F50D50"/>
    <w:rsid w:val="00F5511B"/>
    <w:rsid w:val="00F565FA"/>
    <w:rsid w:val="00F605BD"/>
    <w:rsid w:val="00F61474"/>
    <w:rsid w:val="00F67C19"/>
    <w:rsid w:val="00F717AE"/>
    <w:rsid w:val="00F72184"/>
    <w:rsid w:val="00F76556"/>
    <w:rsid w:val="00F85A46"/>
    <w:rsid w:val="00F9266D"/>
    <w:rsid w:val="00F97DDB"/>
    <w:rsid w:val="00FA3FA3"/>
    <w:rsid w:val="00FB1292"/>
    <w:rsid w:val="00FB2FB2"/>
    <w:rsid w:val="00FD06E8"/>
    <w:rsid w:val="00FD771D"/>
    <w:rsid w:val="00FF4849"/>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7D2F4"/>
  <w14:defaultImageDpi w14:val="32767"/>
  <w15:docId w15:val="{BE778F25-02CB-1042-A3D2-B5F459EA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C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46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6189"/>
    <w:pPr>
      <w:tabs>
        <w:tab w:val="center" w:pos="4680"/>
        <w:tab w:val="right" w:pos="9360"/>
      </w:tabs>
    </w:pPr>
  </w:style>
  <w:style w:type="character" w:customStyle="1" w:styleId="FooterChar">
    <w:name w:val="Footer Char"/>
    <w:basedOn w:val="DefaultParagraphFont"/>
    <w:link w:val="Footer"/>
    <w:uiPriority w:val="99"/>
    <w:rsid w:val="00976189"/>
  </w:style>
  <w:style w:type="character" w:styleId="PageNumber">
    <w:name w:val="page number"/>
    <w:basedOn w:val="DefaultParagraphFont"/>
    <w:uiPriority w:val="99"/>
    <w:semiHidden/>
    <w:unhideWhenUsed/>
    <w:rsid w:val="00976189"/>
  </w:style>
  <w:style w:type="paragraph" w:styleId="FootnoteText">
    <w:name w:val="footnote text"/>
    <w:basedOn w:val="Normal"/>
    <w:link w:val="FootnoteTextChar"/>
    <w:uiPriority w:val="99"/>
    <w:unhideWhenUsed/>
    <w:rsid w:val="00DA60F9"/>
    <w:rPr>
      <w:sz w:val="20"/>
      <w:szCs w:val="20"/>
    </w:rPr>
  </w:style>
  <w:style w:type="character" w:customStyle="1" w:styleId="FootnoteTextChar">
    <w:name w:val="Footnote Text Char"/>
    <w:basedOn w:val="DefaultParagraphFont"/>
    <w:link w:val="FootnoteText"/>
    <w:uiPriority w:val="99"/>
    <w:rsid w:val="00DA60F9"/>
    <w:rPr>
      <w:sz w:val="20"/>
      <w:szCs w:val="20"/>
    </w:rPr>
  </w:style>
  <w:style w:type="character" w:styleId="FootnoteReference">
    <w:name w:val="footnote reference"/>
    <w:basedOn w:val="DefaultParagraphFont"/>
    <w:uiPriority w:val="99"/>
    <w:semiHidden/>
    <w:unhideWhenUsed/>
    <w:rsid w:val="00DA60F9"/>
    <w:rPr>
      <w:vertAlign w:val="superscript"/>
    </w:rPr>
  </w:style>
  <w:style w:type="paragraph" w:styleId="ListParagraph">
    <w:name w:val="List Paragraph"/>
    <w:basedOn w:val="Normal"/>
    <w:uiPriority w:val="34"/>
    <w:qFormat/>
    <w:rsid w:val="00652666"/>
    <w:pPr>
      <w:ind w:left="720"/>
      <w:contextualSpacing/>
    </w:pPr>
  </w:style>
  <w:style w:type="paragraph" w:styleId="NormalWeb">
    <w:name w:val="Normal (Web)"/>
    <w:basedOn w:val="Normal"/>
    <w:uiPriority w:val="99"/>
    <w:unhideWhenUsed/>
    <w:rsid w:val="00E274C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B4CD2"/>
    <w:rPr>
      <w:color w:val="0000FF"/>
      <w:u w:val="single"/>
    </w:rPr>
  </w:style>
  <w:style w:type="paragraph" w:styleId="Title">
    <w:name w:val="Title"/>
    <w:basedOn w:val="Normal"/>
    <w:link w:val="TitleChar"/>
    <w:qFormat/>
    <w:rsid w:val="0003239A"/>
    <w:pPr>
      <w:spacing w:after="300"/>
      <w:jc w:val="center"/>
    </w:pPr>
    <w:rPr>
      <w:rFonts w:ascii="Arial" w:eastAsia="SimSun" w:hAnsi="Arial" w:cs="Times New Roman"/>
      <w:b/>
      <w:caps/>
      <w:kern w:val="28"/>
      <w:sz w:val="30"/>
      <w:szCs w:val="20"/>
      <w:lang w:val="en-US"/>
    </w:rPr>
  </w:style>
  <w:style w:type="character" w:customStyle="1" w:styleId="TitleChar">
    <w:name w:val="Title Char"/>
    <w:basedOn w:val="DefaultParagraphFont"/>
    <w:link w:val="Title"/>
    <w:rsid w:val="0003239A"/>
    <w:rPr>
      <w:rFonts w:ascii="Arial" w:eastAsia="SimSun" w:hAnsi="Arial" w:cs="Times New Roman"/>
      <w:b/>
      <w:caps/>
      <w:kern w:val="28"/>
      <w:sz w:val="30"/>
      <w:szCs w:val="20"/>
      <w:lang w:val="en-US"/>
    </w:rPr>
  </w:style>
  <w:style w:type="character" w:styleId="FollowedHyperlink">
    <w:name w:val="FollowedHyperlink"/>
    <w:basedOn w:val="DefaultParagraphFont"/>
    <w:uiPriority w:val="99"/>
    <w:semiHidden/>
    <w:unhideWhenUsed/>
    <w:rsid w:val="009D70A8"/>
    <w:rPr>
      <w:color w:val="954F72" w:themeColor="followedHyperlink"/>
      <w:u w:val="single"/>
    </w:rPr>
  </w:style>
  <w:style w:type="paragraph" w:styleId="EndnoteText">
    <w:name w:val="endnote text"/>
    <w:basedOn w:val="Normal"/>
    <w:link w:val="EndnoteTextChar"/>
    <w:uiPriority w:val="99"/>
    <w:semiHidden/>
    <w:unhideWhenUsed/>
    <w:rsid w:val="00BA1F06"/>
    <w:rPr>
      <w:color w:val="7F7F7F" w:themeColor="text1" w:themeTint="80"/>
      <w:sz w:val="20"/>
      <w:szCs w:val="20"/>
      <w:lang w:val="en-US" w:eastAsia="ja-JP"/>
    </w:rPr>
  </w:style>
  <w:style w:type="character" w:customStyle="1" w:styleId="EndnoteTextChar">
    <w:name w:val="Endnote Text Char"/>
    <w:basedOn w:val="DefaultParagraphFont"/>
    <w:link w:val="EndnoteText"/>
    <w:uiPriority w:val="99"/>
    <w:semiHidden/>
    <w:rsid w:val="00BA1F06"/>
    <w:rPr>
      <w:color w:val="7F7F7F" w:themeColor="text1" w:themeTint="80"/>
      <w:sz w:val="20"/>
      <w:szCs w:val="20"/>
      <w:lang w:val="en-US" w:eastAsia="ja-JP"/>
    </w:rPr>
  </w:style>
  <w:style w:type="paragraph" w:styleId="ListBullet">
    <w:name w:val="List Bullet"/>
    <w:basedOn w:val="Normal"/>
    <w:uiPriority w:val="31"/>
    <w:qFormat/>
    <w:rsid w:val="00BA1F06"/>
    <w:pPr>
      <w:numPr>
        <w:numId w:val="8"/>
      </w:numPr>
      <w:spacing w:before="160" w:after="320" w:line="360" w:lineRule="auto"/>
      <w:contextualSpacing/>
    </w:pPr>
    <w:rPr>
      <w:color w:val="7F7F7F" w:themeColor="text1" w:themeTint="80"/>
      <w:lang w:val="en-US" w:eastAsia="ja-JP"/>
    </w:rPr>
  </w:style>
  <w:style w:type="paragraph" w:styleId="BalloonText">
    <w:name w:val="Balloon Text"/>
    <w:basedOn w:val="Normal"/>
    <w:link w:val="BalloonTextChar"/>
    <w:uiPriority w:val="99"/>
    <w:semiHidden/>
    <w:unhideWhenUsed/>
    <w:rsid w:val="00B2351F"/>
    <w:rPr>
      <w:rFonts w:ascii="Tahoma" w:hAnsi="Tahoma" w:cs="Tahoma"/>
      <w:sz w:val="16"/>
      <w:szCs w:val="16"/>
    </w:rPr>
  </w:style>
  <w:style w:type="character" w:customStyle="1" w:styleId="BalloonTextChar">
    <w:name w:val="Balloon Text Char"/>
    <w:basedOn w:val="DefaultParagraphFont"/>
    <w:link w:val="BalloonText"/>
    <w:uiPriority w:val="99"/>
    <w:semiHidden/>
    <w:rsid w:val="00B2351F"/>
    <w:rPr>
      <w:rFonts w:ascii="Tahoma" w:hAnsi="Tahoma" w:cs="Tahoma"/>
      <w:sz w:val="16"/>
      <w:szCs w:val="16"/>
    </w:rPr>
  </w:style>
  <w:style w:type="paragraph" w:styleId="Header">
    <w:name w:val="header"/>
    <w:basedOn w:val="Normal"/>
    <w:link w:val="HeaderChar"/>
    <w:uiPriority w:val="99"/>
    <w:unhideWhenUsed/>
    <w:rsid w:val="00172745"/>
    <w:pPr>
      <w:tabs>
        <w:tab w:val="center" w:pos="4513"/>
        <w:tab w:val="right" w:pos="9026"/>
      </w:tabs>
    </w:pPr>
  </w:style>
  <w:style w:type="character" w:customStyle="1" w:styleId="HeaderChar">
    <w:name w:val="Header Char"/>
    <w:basedOn w:val="DefaultParagraphFont"/>
    <w:link w:val="Header"/>
    <w:uiPriority w:val="99"/>
    <w:rsid w:val="00172745"/>
  </w:style>
  <w:style w:type="character" w:customStyle="1" w:styleId="Heading1Char">
    <w:name w:val="Heading 1 Char"/>
    <w:basedOn w:val="DefaultParagraphFont"/>
    <w:link w:val="Heading1"/>
    <w:uiPriority w:val="9"/>
    <w:rsid w:val="00D30C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462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02064"/>
    <w:rPr>
      <w:color w:val="605E5C"/>
      <w:shd w:val="clear" w:color="auto" w:fill="E1DFDD"/>
    </w:rPr>
  </w:style>
  <w:style w:type="paragraph" w:customStyle="1" w:styleId="Footnotes">
    <w:name w:val="Footnotes"/>
    <w:basedOn w:val="Normal"/>
    <w:qFormat/>
    <w:rsid w:val="008452EE"/>
    <w:pPr>
      <w:spacing w:before="120" w:line="360" w:lineRule="auto"/>
      <w:ind w:left="482" w:hanging="482"/>
      <w:contextualSpacing/>
    </w:pPr>
    <w:rPr>
      <w:rFonts w:ascii="Times New Roman" w:eastAsia="Times New Roman" w:hAnsi="Times New Roman" w:cs="Times New Roman"/>
      <w:sz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804">
      <w:bodyDiv w:val="1"/>
      <w:marLeft w:val="0"/>
      <w:marRight w:val="0"/>
      <w:marTop w:val="0"/>
      <w:marBottom w:val="0"/>
      <w:divBdr>
        <w:top w:val="none" w:sz="0" w:space="0" w:color="auto"/>
        <w:left w:val="none" w:sz="0" w:space="0" w:color="auto"/>
        <w:bottom w:val="none" w:sz="0" w:space="0" w:color="auto"/>
        <w:right w:val="none" w:sz="0" w:space="0" w:color="auto"/>
      </w:divBdr>
    </w:div>
    <w:div w:id="48959991">
      <w:bodyDiv w:val="1"/>
      <w:marLeft w:val="0"/>
      <w:marRight w:val="0"/>
      <w:marTop w:val="0"/>
      <w:marBottom w:val="0"/>
      <w:divBdr>
        <w:top w:val="none" w:sz="0" w:space="0" w:color="auto"/>
        <w:left w:val="none" w:sz="0" w:space="0" w:color="auto"/>
        <w:bottom w:val="none" w:sz="0" w:space="0" w:color="auto"/>
        <w:right w:val="none" w:sz="0" w:space="0" w:color="auto"/>
      </w:divBdr>
      <w:divsChild>
        <w:div w:id="1172992001">
          <w:marLeft w:val="0"/>
          <w:marRight w:val="0"/>
          <w:marTop w:val="0"/>
          <w:marBottom w:val="0"/>
          <w:divBdr>
            <w:top w:val="none" w:sz="0" w:space="0" w:color="auto"/>
            <w:left w:val="none" w:sz="0" w:space="0" w:color="auto"/>
            <w:bottom w:val="none" w:sz="0" w:space="0" w:color="auto"/>
            <w:right w:val="none" w:sz="0" w:space="0" w:color="auto"/>
          </w:divBdr>
          <w:divsChild>
            <w:div w:id="242419904">
              <w:marLeft w:val="0"/>
              <w:marRight w:val="0"/>
              <w:marTop w:val="0"/>
              <w:marBottom w:val="0"/>
              <w:divBdr>
                <w:top w:val="none" w:sz="0" w:space="0" w:color="auto"/>
                <w:left w:val="none" w:sz="0" w:space="0" w:color="auto"/>
                <w:bottom w:val="none" w:sz="0" w:space="0" w:color="auto"/>
                <w:right w:val="none" w:sz="0" w:space="0" w:color="auto"/>
              </w:divBdr>
              <w:divsChild>
                <w:div w:id="523403210">
                  <w:marLeft w:val="0"/>
                  <w:marRight w:val="0"/>
                  <w:marTop w:val="0"/>
                  <w:marBottom w:val="0"/>
                  <w:divBdr>
                    <w:top w:val="none" w:sz="0" w:space="0" w:color="auto"/>
                    <w:left w:val="none" w:sz="0" w:space="0" w:color="auto"/>
                    <w:bottom w:val="none" w:sz="0" w:space="0" w:color="auto"/>
                    <w:right w:val="none" w:sz="0" w:space="0" w:color="auto"/>
                  </w:divBdr>
                  <w:divsChild>
                    <w:div w:id="1094671791">
                      <w:marLeft w:val="0"/>
                      <w:marRight w:val="0"/>
                      <w:marTop w:val="0"/>
                      <w:marBottom w:val="0"/>
                      <w:divBdr>
                        <w:top w:val="none" w:sz="0" w:space="0" w:color="auto"/>
                        <w:left w:val="none" w:sz="0" w:space="0" w:color="auto"/>
                        <w:bottom w:val="none" w:sz="0" w:space="0" w:color="auto"/>
                        <w:right w:val="none" w:sz="0" w:space="0" w:color="auto"/>
                      </w:divBdr>
                      <w:divsChild>
                        <w:div w:id="1411730599">
                          <w:marLeft w:val="0"/>
                          <w:marRight w:val="0"/>
                          <w:marTop w:val="0"/>
                          <w:marBottom w:val="0"/>
                          <w:divBdr>
                            <w:top w:val="none" w:sz="0" w:space="0" w:color="auto"/>
                            <w:left w:val="none" w:sz="0" w:space="0" w:color="auto"/>
                            <w:bottom w:val="none" w:sz="0" w:space="0" w:color="auto"/>
                            <w:right w:val="none" w:sz="0" w:space="0" w:color="auto"/>
                          </w:divBdr>
                          <w:divsChild>
                            <w:div w:id="5669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6543">
      <w:bodyDiv w:val="1"/>
      <w:marLeft w:val="0"/>
      <w:marRight w:val="0"/>
      <w:marTop w:val="0"/>
      <w:marBottom w:val="0"/>
      <w:divBdr>
        <w:top w:val="none" w:sz="0" w:space="0" w:color="auto"/>
        <w:left w:val="none" w:sz="0" w:space="0" w:color="auto"/>
        <w:bottom w:val="none" w:sz="0" w:space="0" w:color="auto"/>
        <w:right w:val="none" w:sz="0" w:space="0" w:color="auto"/>
      </w:divBdr>
    </w:div>
    <w:div w:id="167644105">
      <w:bodyDiv w:val="1"/>
      <w:marLeft w:val="0"/>
      <w:marRight w:val="0"/>
      <w:marTop w:val="0"/>
      <w:marBottom w:val="0"/>
      <w:divBdr>
        <w:top w:val="none" w:sz="0" w:space="0" w:color="auto"/>
        <w:left w:val="none" w:sz="0" w:space="0" w:color="auto"/>
        <w:bottom w:val="none" w:sz="0" w:space="0" w:color="auto"/>
        <w:right w:val="none" w:sz="0" w:space="0" w:color="auto"/>
      </w:divBdr>
    </w:div>
    <w:div w:id="237330147">
      <w:bodyDiv w:val="1"/>
      <w:marLeft w:val="0"/>
      <w:marRight w:val="0"/>
      <w:marTop w:val="0"/>
      <w:marBottom w:val="0"/>
      <w:divBdr>
        <w:top w:val="none" w:sz="0" w:space="0" w:color="auto"/>
        <w:left w:val="none" w:sz="0" w:space="0" w:color="auto"/>
        <w:bottom w:val="none" w:sz="0" w:space="0" w:color="auto"/>
        <w:right w:val="none" w:sz="0" w:space="0" w:color="auto"/>
      </w:divBdr>
    </w:div>
    <w:div w:id="241183498">
      <w:bodyDiv w:val="1"/>
      <w:marLeft w:val="0"/>
      <w:marRight w:val="0"/>
      <w:marTop w:val="0"/>
      <w:marBottom w:val="0"/>
      <w:divBdr>
        <w:top w:val="none" w:sz="0" w:space="0" w:color="auto"/>
        <w:left w:val="none" w:sz="0" w:space="0" w:color="auto"/>
        <w:bottom w:val="none" w:sz="0" w:space="0" w:color="auto"/>
        <w:right w:val="none" w:sz="0" w:space="0" w:color="auto"/>
      </w:divBdr>
    </w:div>
    <w:div w:id="267541467">
      <w:bodyDiv w:val="1"/>
      <w:marLeft w:val="0"/>
      <w:marRight w:val="0"/>
      <w:marTop w:val="0"/>
      <w:marBottom w:val="0"/>
      <w:divBdr>
        <w:top w:val="none" w:sz="0" w:space="0" w:color="auto"/>
        <w:left w:val="none" w:sz="0" w:space="0" w:color="auto"/>
        <w:bottom w:val="none" w:sz="0" w:space="0" w:color="auto"/>
        <w:right w:val="none" w:sz="0" w:space="0" w:color="auto"/>
      </w:divBdr>
    </w:div>
    <w:div w:id="295184926">
      <w:bodyDiv w:val="1"/>
      <w:marLeft w:val="0"/>
      <w:marRight w:val="0"/>
      <w:marTop w:val="0"/>
      <w:marBottom w:val="0"/>
      <w:divBdr>
        <w:top w:val="none" w:sz="0" w:space="0" w:color="auto"/>
        <w:left w:val="none" w:sz="0" w:space="0" w:color="auto"/>
        <w:bottom w:val="none" w:sz="0" w:space="0" w:color="auto"/>
        <w:right w:val="none" w:sz="0" w:space="0" w:color="auto"/>
      </w:divBdr>
    </w:div>
    <w:div w:id="295915469">
      <w:bodyDiv w:val="1"/>
      <w:marLeft w:val="0"/>
      <w:marRight w:val="0"/>
      <w:marTop w:val="0"/>
      <w:marBottom w:val="0"/>
      <w:divBdr>
        <w:top w:val="none" w:sz="0" w:space="0" w:color="auto"/>
        <w:left w:val="none" w:sz="0" w:space="0" w:color="auto"/>
        <w:bottom w:val="none" w:sz="0" w:space="0" w:color="auto"/>
        <w:right w:val="none" w:sz="0" w:space="0" w:color="auto"/>
      </w:divBdr>
    </w:div>
    <w:div w:id="319235557">
      <w:bodyDiv w:val="1"/>
      <w:marLeft w:val="0"/>
      <w:marRight w:val="0"/>
      <w:marTop w:val="0"/>
      <w:marBottom w:val="0"/>
      <w:divBdr>
        <w:top w:val="none" w:sz="0" w:space="0" w:color="auto"/>
        <w:left w:val="none" w:sz="0" w:space="0" w:color="auto"/>
        <w:bottom w:val="none" w:sz="0" w:space="0" w:color="auto"/>
        <w:right w:val="none" w:sz="0" w:space="0" w:color="auto"/>
      </w:divBdr>
    </w:div>
    <w:div w:id="402676907">
      <w:bodyDiv w:val="1"/>
      <w:marLeft w:val="0"/>
      <w:marRight w:val="0"/>
      <w:marTop w:val="0"/>
      <w:marBottom w:val="0"/>
      <w:divBdr>
        <w:top w:val="none" w:sz="0" w:space="0" w:color="auto"/>
        <w:left w:val="none" w:sz="0" w:space="0" w:color="auto"/>
        <w:bottom w:val="none" w:sz="0" w:space="0" w:color="auto"/>
        <w:right w:val="none" w:sz="0" w:space="0" w:color="auto"/>
      </w:divBdr>
    </w:div>
    <w:div w:id="417214626">
      <w:bodyDiv w:val="1"/>
      <w:marLeft w:val="0"/>
      <w:marRight w:val="0"/>
      <w:marTop w:val="0"/>
      <w:marBottom w:val="0"/>
      <w:divBdr>
        <w:top w:val="none" w:sz="0" w:space="0" w:color="auto"/>
        <w:left w:val="none" w:sz="0" w:space="0" w:color="auto"/>
        <w:bottom w:val="none" w:sz="0" w:space="0" w:color="auto"/>
        <w:right w:val="none" w:sz="0" w:space="0" w:color="auto"/>
      </w:divBdr>
    </w:div>
    <w:div w:id="493453166">
      <w:bodyDiv w:val="1"/>
      <w:marLeft w:val="0"/>
      <w:marRight w:val="0"/>
      <w:marTop w:val="0"/>
      <w:marBottom w:val="0"/>
      <w:divBdr>
        <w:top w:val="none" w:sz="0" w:space="0" w:color="auto"/>
        <w:left w:val="none" w:sz="0" w:space="0" w:color="auto"/>
        <w:bottom w:val="none" w:sz="0" w:space="0" w:color="auto"/>
        <w:right w:val="none" w:sz="0" w:space="0" w:color="auto"/>
      </w:divBdr>
    </w:div>
    <w:div w:id="524906467">
      <w:bodyDiv w:val="1"/>
      <w:marLeft w:val="0"/>
      <w:marRight w:val="0"/>
      <w:marTop w:val="0"/>
      <w:marBottom w:val="0"/>
      <w:divBdr>
        <w:top w:val="none" w:sz="0" w:space="0" w:color="auto"/>
        <w:left w:val="none" w:sz="0" w:space="0" w:color="auto"/>
        <w:bottom w:val="none" w:sz="0" w:space="0" w:color="auto"/>
        <w:right w:val="none" w:sz="0" w:space="0" w:color="auto"/>
      </w:divBdr>
    </w:div>
    <w:div w:id="559749680">
      <w:bodyDiv w:val="1"/>
      <w:marLeft w:val="0"/>
      <w:marRight w:val="0"/>
      <w:marTop w:val="0"/>
      <w:marBottom w:val="0"/>
      <w:divBdr>
        <w:top w:val="none" w:sz="0" w:space="0" w:color="auto"/>
        <w:left w:val="none" w:sz="0" w:space="0" w:color="auto"/>
        <w:bottom w:val="none" w:sz="0" w:space="0" w:color="auto"/>
        <w:right w:val="none" w:sz="0" w:space="0" w:color="auto"/>
      </w:divBdr>
    </w:div>
    <w:div w:id="566109098">
      <w:bodyDiv w:val="1"/>
      <w:marLeft w:val="0"/>
      <w:marRight w:val="0"/>
      <w:marTop w:val="0"/>
      <w:marBottom w:val="0"/>
      <w:divBdr>
        <w:top w:val="none" w:sz="0" w:space="0" w:color="auto"/>
        <w:left w:val="none" w:sz="0" w:space="0" w:color="auto"/>
        <w:bottom w:val="none" w:sz="0" w:space="0" w:color="auto"/>
        <w:right w:val="none" w:sz="0" w:space="0" w:color="auto"/>
      </w:divBdr>
    </w:div>
    <w:div w:id="631134946">
      <w:bodyDiv w:val="1"/>
      <w:marLeft w:val="0"/>
      <w:marRight w:val="0"/>
      <w:marTop w:val="0"/>
      <w:marBottom w:val="0"/>
      <w:divBdr>
        <w:top w:val="none" w:sz="0" w:space="0" w:color="auto"/>
        <w:left w:val="none" w:sz="0" w:space="0" w:color="auto"/>
        <w:bottom w:val="none" w:sz="0" w:space="0" w:color="auto"/>
        <w:right w:val="none" w:sz="0" w:space="0" w:color="auto"/>
      </w:divBdr>
    </w:div>
    <w:div w:id="634338847">
      <w:bodyDiv w:val="1"/>
      <w:marLeft w:val="0"/>
      <w:marRight w:val="0"/>
      <w:marTop w:val="0"/>
      <w:marBottom w:val="0"/>
      <w:divBdr>
        <w:top w:val="none" w:sz="0" w:space="0" w:color="auto"/>
        <w:left w:val="none" w:sz="0" w:space="0" w:color="auto"/>
        <w:bottom w:val="none" w:sz="0" w:space="0" w:color="auto"/>
        <w:right w:val="none" w:sz="0" w:space="0" w:color="auto"/>
      </w:divBdr>
    </w:div>
    <w:div w:id="646865173">
      <w:bodyDiv w:val="1"/>
      <w:marLeft w:val="0"/>
      <w:marRight w:val="0"/>
      <w:marTop w:val="0"/>
      <w:marBottom w:val="0"/>
      <w:divBdr>
        <w:top w:val="none" w:sz="0" w:space="0" w:color="auto"/>
        <w:left w:val="none" w:sz="0" w:space="0" w:color="auto"/>
        <w:bottom w:val="none" w:sz="0" w:space="0" w:color="auto"/>
        <w:right w:val="none" w:sz="0" w:space="0" w:color="auto"/>
      </w:divBdr>
    </w:div>
    <w:div w:id="651713697">
      <w:bodyDiv w:val="1"/>
      <w:marLeft w:val="0"/>
      <w:marRight w:val="0"/>
      <w:marTop w:val="0"/>
      <w:marBottom w:val="0"/>
      <w:divBdr>
        <w:top w:val="none" w:sz="0" w:space="0" w:color="auto"/>
        <w:left w:val="none" w:sz="0" w:space="0" w:color="auto"/>
        <w:bottom w:val="none" w:sz="0" w:space="0" w:color="auto"/>
        <w:right w:val="none" w:sz="0" w:space="0" w:color="auto"/>
      </w:divBdr>
    </w:div>
    <w:div w:id="662973121">
      <w:bodyDiv w:val="1"/>
      <w:marLeft w:val="0"/>
      <w:marRight w:val="0"/>
      <w:marTop w:val="0"/>
      <w:marBottom w:val="0"/>
      <w:divBdr>
        <w:top w:val="none" w:sz="0" w:space="0" w:color="auto"/>
        <w:left w:val="none" w:sz="0" w:space="0" w:color="auto"/>
        <w:bottom w:val="none" w:sz="0" w:space="0" w:color="auto"/>
        <w:right w:val="none" w:sz="0" w:space="0" w:color="auto"/>
      </w:divBdr>
    </w:div>
    <w:div w:id="666329610">
      <w:bodyDiv w:val="1"/>
      <w:marLeft w:val="0"/>
      <w:marRight w:val="0"/>
      <w:marTop w:val="0"/>
      <w:marBottom w:val="0"/>
      <w:divBdr>
        <w:top w:val="none" w:sz="0" w:space="0" w:color="auto"/>
        <w:left w:val="none" w:sz="0" w:space="0" w:color="auto"/>
        <w:bottom w:val="none" w:sz="0" w:space="0" w:color="auto"/>
        <w:right w:val="none" w:sz="0" w:space="0" w:color="auto"/>
      </w:divBdr>
    </w:div>
    <w:div w:id="672029729">
      <w:bodyDiv w:val="1"/>
      <w:marLeft w:val="0"/>
      <w:marRight w:val="0"/>
      <w:marTop w:val="0"/>
      <w:marBottom w:val="0"/>
      <w:divBdr>
        <w:top w:val="none" w:sz="0" w:space="0" w:color="auto"/>
        <w:left w:val="none" w:sz="0" w:space="0" w:color="auto"/>
        <w:bottom w:val="none" w:sz="0" w:space="0" w:color="auto"/>
        <w:right w:val="none" w:sz="0" w:space="0" w:color="auto"/>
      </w:divBdr>
    </w:div>
    <w:div w:id="678460377">
      <w:bodyDiv w:val="1"/>
      <w:marLeft w:val="0"/>
      <w:marRight w:val="0"/>
      <w:marTop w:val="0"/>
      <w:marBottom w:val="0"/>
      <w:divBdr>
        <w:top w:val="none" w:sz="0" w:space="0" w:color="auto"/>
        <w:left w:val="none" w:sz="0" w:space="0" w:color="auto"/>
        <w:bottom w:val="none" w:sz="0" w:space="0" w:color="auto"/>
        <w:right w:val="none" w:sz="0" w:space="0" w:color="auto"/>
      </w:divBdr>
    </w:div>
    <w:div w:id="680819508">
      <w:bodyDiv w:val="1"/>
      <w:marLeft w:val="0"/>
      <w:marRight w:val="0"/>
      <w:marTop w:val="0"/>
      <w:marBottom w:val="0"/>
      <w:divBdr>
        <w:top w:val="none" w:sz="0" w:space="0" w:color="auto"/>
        <w:left w:val="none" w:sz="0" w:space="0" w:color="auto"/>
        <w:bottom w:val="none" w:sz="0" w:space="0" w:color="auto"/>
        <w:right w:val="none" w:sz="0" w:space="0" w:color="auto"/>
      </w:divBdr>
    </w:div>
    <w:div w:id="688986681">
      <w:bodyDiv w:val="1"/>
      <w:marLeft w:val="0"/>
      <w:marRight w:val="0"/>
      <w:marTop w:val="0"/>
      <w:marBottom w:val="0"/>
      <w:divBdr>
        <w:top w:val="none" w:sz="0" w:space="0" w:color="auto"/>
        <w:left w:val="none" w:sz="0" w:space="0" w:color="auto"/>
        <w:bottom w:val="none" w:sz="0" w:space="0" w:color="auto"/>
        <w:right w:val="none" w:sz="0" w:space="0" w:color="auto"/>
      </w:divBdr>
    </w:div>
    <w:div w:id="737821987">
      <w:bodyDiv w:val="1"/>
      <w:marLeft w:val="0"/>
      <w:marRight w:val="0"/>
      <w:marTop w:val="0"/>
      <w:marBottom w:val="0"/>
      <w:divBdr>
        <w:top w:val="none" w:sz="0" w:space="0" w:color="auto"/>
        <w:left w:val="none" w:sz="0" w:space="0" w:color="auto"/>
        <w:bottom w:val="none" w:sz="0" w:space="0" w:color="auto"/>
        <w:right w:val="none" w:sz="0" w:space="0" w:color="auto"/>
      </w:divBdr>
    </w:div>
    <w:div w:id="742602206">
      <w:bodyDiv w:val="1"/>
      <w:marLeft w:val="0"/>
      <w:marRight w:val="0"/>
      <w:marTop w:val="0"/>
      <w:marBottom w:val="0"/>
      <w:divBdr>
        <w:top w:val="none" w:sz="0" w:space="0" w:color="auto"/>
        <w:left w:val="none" w:sz="0" w:space="0" w:color="auto"/>
        <w:bottom w:val="none" w:sz="0" w:space="0" w:color="auto"/>
        <w:right w:val="none" w:sz="0" w:space="0" w:color="auto"/>
      </w:divBdr>
    </w:div>
    <w:div w:id="784617017">
      <w:bodyDiv w:val="1"/>
      <w:marLeft w:val="0"/>
      <w:marRight w:val="0"/>
      <w:marTop w:val="0"/>
      <w:marBottom w:val="0"/>
      <w:divBdr>
        <w:top w:val="none" w:sz="0" w:space="0" w:color="auto"/>
        <w:left w:val="none" w:sz="0" w:space="0" w:color="auto"/>
        <w:bottom w:val="none" w:sz="0" w:space="0" w:color="auto"/>
        <w:right w:val="none" w:sz="0" w:space="0" w:color="auto"/>
      </w:divBdr>
    </w:div>
    <w:div w:id="826291021">
      <w:bodyDiv w:val="1"/>
      <w:marLeft w:val="0"/>
      <w:marRight w:val="0"/>
      <w:marTop w:val="0"/>
      <w:marBottom w:val="0"/>
      <w:divBdr>
        <w:top w:val="none" w:sz="0" w:space="0" w:color="auto"/>
        <w:left w:val="none" w:sz="0" w:space="0" w:color="auto"/>
        <w:bottom w:val="none" w:sz="0" w:space="0" w:color="auto"/>
        <w:right w:val="none" w:sz="0" w:space="0" w:color="auto"/>
      </w:divBdr>
    </w:div>
    <w:div w:id="841973732">
      <w:bodyDiv w:val="1"/>
      <w:marLeft w:val="0"/>
      <w:marRight w:val="0"/>
      <w:marTop w:val="0"/>
      <w:marBottom w:val="0"/>
      <w:divBdr>
        <w:top w:val="none" w:sz="0" w:space="0" w:color="auto"/>
        <w:left w:val="none" w:sz="0" w:space="0" w:color="auto"/>
        <w:bottom w:val="none" w:sz="0" w:space="0" w:color="auto"/>
        <w:right w:val="none" w:sz="0" w:space="0" w:color="auto"/>
      </w:divBdr>
    </w:div>
    <w:div w:id="842353473">
      <w:bodyDiv w:val="1"/>
      <w:marLeft w:val="0"/>
      <w:marRight w:val="0"/>
      <w:marTop w:val="0"/>
      <w:marBottom w:val="0"/>
      <w:divBdr>
        <w:top w:val="none" w:sz="0" w:space="0" w:color="auto"/>
        <w:left w:val="none" w:sz="0" w:space="0" w:color="auto"/>
        <w:bottom w:val="none" w:sz="0" w:space="0" w:color="auto"/>
        <w:right w:val="none" w:sz="0" w:space="0" w:color="auto"/>
      </w:divBdr>
    </w:div>
    <w:div w:id="848908283">
      <w:bodyDiv w:val="1"/>
      <w:marLeft w:val="0"/>
      <w:marRight w:val="0"/>
      <w:marTop w:val="0"/>
      <w:marBottom w:val="0"/>
      <w:divBdr>
        <w:top w:val="none" w:sz="0" w:space="0" w:color="auto"/>
        <w:left w:val="none" w:sz="0" w:space="0" w:color="auto"/>
        <w:bottom w:val="none" w:sz="0" w:space="0" w:color="auto"/>
        <w:right w:val="none" w:sz="0" w:space="0" w:color="auto"/>
      </w:divBdr>
    </w:div>
    <w:div w:id="867832693">
      <w:bodyDiv w:val="1"/>
      <w:marLeft w:val="0"/>
      <w:marRight w:val="0"/>
      <w:marTop w:val="0"/>
      <w:marBottom w:val="0"/>
      <w:divBdr>
        <w:top w:val="none" w:sz="0" w:space="0" w:color="auto"/>
        <w:left w:val="none" w:sz="0" w:space="0" w:color="auto"/>
        <w:bottom w:val="none" w:sz="0" w:space="0" w:color="auto"/>
        <w:right w:val="none" w:sz="0" w:space="0" w:color="auto"/>
      </w:divBdr>
    </w:div>
    <w:div w:id="898905881">
      <w:bodyDiv w:val="1"/>
      <w:marLeft w:val="0"/>
      <w:marRight w:val="0"/>
      <w:marTop w:val="0"/>
      <w:marBottom w:val="0"/>
      <w:divBdr>
        <w:top w:val="none" w:sz="0" w:space="0" w:color="auto"/>
        <w:left w:val="none" w:sz="0" w:space="0" w:color="auto"/>
        <w:bottom w:val="none" w:sz="0" w:space="0" w:color="auto"/>
        <w:right w:val="none" w:sz="0" w:space="0" w:color="auto"/>
      </w:divBdr>
    </w:div>
    <w:div w:id="929042666">
      <w:bodyDiv w:val="1"/>
      <w:marLeft w:val="0"/>
      <w:marRight w:val="0"/>
      <w:marTop w:val="0"/>
      <w:marBottom w:val="0"/>
      <w:divBdr>
        <w:top w:val="none" w:sz="0" w:space="0" w:color="auto"/>
        <w:left w:val="none" w:sz="0" w:space="0" w:color="auto"/>
        <w:bottom w:val="none" w:sz="0" w:space="0" w:color="auto"/>
        <w:right w:val="none" w:sz="0" w:space="0" w:color="auto"/>
      </w:divBdr>
    </w:div>
    <w:div w:id="943461679">
      <w:bodyDiv w:val="1"/>
      <w:marLeft w:val="0"/>
      <w:marRight w:val="0"/>
      <w:marTop w:val="0"/>
      <w:marBottom w:val="0"/>
      <w:divBdr>
        <w:top w:val="none" w:sz="0" w:space="0" w:color="auto"/>
        <w:left w:val="none" w:sz="0" w:space="0" w:color="auto"/>
        <w:bottom w:val="none" w:sz="0" w:space="0" w:color="auto"/>
        <w:right w:val="none" w:sz="0" w:space="0" w:color="auto"/>
      </w:divBdr>
    </w:div>
    <w:div w:id="975644987">
      <w:bodyDiv w:val="1"/>
      <w:marLeft w:val="0"/>
      <w:marRight w:val="0"/>
      <w:marTop w:val="0"/>
      <w:marBottom w:val="0"/>
      <w:divBdr>
        <w:top w:val="none" w:sz="0" w:space="0" w:color="auto"/>
        <w:left w:val="none" w:sz="0" w:space="0" w:color="auto"/>
        <w:bottom w:val="none" w:sz="0" w:space="0" w:color="auto"/>
        <w:right w:val="none" w:sz="0" w:space="0" w:color="auto"/>
      </w:divBdr>
    </w:div>
    <w:div w:id="998272750">
      <w:bodyDiv w:val="1"/>
      <w:marLeft w:val="0"/>
      <w:marRight w:val="0"/>
      <w:marTop w:val="0"/>
      <w:marBottom w:val="0"/>
      <w:divBdr>
        <w:top w:val="none" w:sz="0" w:space="0" w:color="auto"/>
        <w:left w:val="none" w:sz="0" w:space="0" w:color="auto"/>
        <w:bottom w:val="none" w:sz="0" w:space="0" w:color="auto"/>
        <w:right w:val="none" w:sz="0" w:space="0" w:color="auto"/>
      </w:divBdr>
    </w:div>
    <w:div w:id="1009209927">
      <w:bodyDiv w:val="1"/>
      <w:marLeft w:val="0"/>
      <w:marRight w:val="0"/>
      <w:marTop w:val="0"/>
      <w:marBottom w:val="0"/>
      <w:divBdr>
        <w:top w:val="none" w:sz="0" w:space="0" w:color="auto"/>
        <w:left w:val="none" w:sz="0" w:space="0" w:color="auto"/>
        <w:bottom w:val="none" w:sz="0" w:space="0" w:color="auto"/>
        <w:right w:val="none" w:sz="0" w:space="0" w:color="auto"/>
      </w:divBdr>
    </w:div>
    <w:div w:id="1022052956">
      <w:bodyDiv w:val="1"/>
      <w:marLeft w:val="0"/>
      <w:marRight w:val="0"/>
      <w:marTop w:val="0"/>
      <w:marBottom w:val="0"/>
      <w:divBdr>
        <w:top w:val="none" w:sz="0" w:space="0" w:color="auto"/>
        <w:left w:val="none" w:sz="0" w:space="0" w:color="auto"/>
        <w:bottom w:val="none" w:sz="0" w:space="0" w:color="auto"/>
        <w:right w:val="none" w:sz="0" w:space="0" w:color="auto"/>
      </w:divBdr>
    </w:div>
    <w:div w:id="1023245700">
      <w:bodyDiv w:val="1"/>
      <w:marLeft w:val="0"/>
      <w:marRight w:val="0"/>
      <w:marTop w:val="0"/>
      <w:marBottom w:val="0"/>
      <w:divBdr>
        <w:top w:val="none" w:sz="0" w:space="0" w:color="auto"/>
        <w:left w:val="none" w:sz="0" w:space="0" w:color="auto"/>
        <w:bottom w:val="none" w:sz="0" w:space="0" w:color="auto"/>
        <w:right w:val="none" w:sz="0" w:space="0" w:color="auto"/>
      </w:divBdr>
    </w:div>
    <w:div w:id="1068456271">
      <w:bodyDiv w:val="1"/>
      <w:marLeft w:val="0"/>
      <w:marRight w:val="0"/>
      <w:marTop w:val="0"/>
      <w:marBottom w:val="0"/>
      <w:divBdr>
        <w:top w:val="none" w:sz="0" w:space="0" w:color="auto"/>
        <w:left w:val="none" w:sz="0" w:space="0" w:color="auto"/>
        <w:bottom w:val="none" w:sz="0" w:space="0" w:color="auto"/>
        <w:right w:val="none" w:sz="0" w:space="0" w:color="auto"/>
      </w:divBdr>
    </w:div>
    <w:div w:id="1099254732">
      <w:bodyDiv w:val="1"/>
      <w:marLeft w:val="0"/>
      <w:marRight w:val="0"/>
      <w:marTop w:val="0"/>
      <w:marBottom w:val="0"/>
      <w:divBdr>
        <w:top w:val="none" w:sz="0" w:space="0" w:color="auto"/>
        <w:left w:val="none" w:sz="0" w:space="0" w:color="auto"/>
        <w:bottom w:val="none" w:sz="0" w:space="0" w:color="auto"/>
        <w:right w:val="none" w:sz="0" w:space="0" w:color="auto"/>
      </w:divBdr>
    </w:div>
    <w:div w:id="1119107317">
      <w:bodyDiv w:val="1"/>
      <w:marLeft w:val="0"/>
      <w:marRight w:val="0"/>
      <w:marTop w:val="0"/>
      <w:marBottom w:val="0"/>
      <w:divBdr>
        <w:top w:val="none" w:sz="0" w:space="0" w:color="auto"/>
        <w:left w:val="none" w:sz="0" w:space="0" w:color="auto"/>
        <w:bottom w:val="none" w:sz="0" w:space="0" w:color="auto"/>
        <w:right w:val="none" w:sz="0" w:space="0" w:color="auto"/>
      </w:divBdr>
    </w:div>
    <w:div w:id="1143234235">
      <w:bodyDiv w:val="1"/>
      <w:marLeft w:val="0"/>
      <w:marRight w:val="0"/>
      <w:marTop w:val="0"/>
      <w:marBottom w:val="0"/>
      <w:divBdr>
        <w:top w:val="none" w:sz="0" w:space="0" w:color="auto"/>
        <w:left w:val="none" w:sz="0" w:space="0" w:color="auto"/>
        <w:bottom w:val="none" w:sz="0" w:space="0" w:color="auto"/>
        <w:right w:val="none" w:sz="0" w:space="0" w:color="auto"/>
      </w:divBdr>
    </w:div>
    <w:div w:id="1145851413">
      <w:bodyDiv w:val="1"/>
      <w:marLeft w:val="0"/>
      <w:marRight w:val="0"/>
      <w:marTop w:val="0"/>
      <w:marBottom w:val="0"/>
      <w:divBdr>
        <w:top w:val="none" w:sz="0" w:space="0" w:color="auto"/>
        <w:left w:val="none" w:sz="0" w:space="0" w:color="auto"/>
        <w:bottom w:val="none" w:sz="0" w:space="0" w:color="auto"/>
        <w:right w:val="none" w:sz="0" w:space="0" w:color="auto"/>
      </w:divBdr>
    </w:div>
    <w:div w:id="1162696465">
      <w:bodyDiv w:val="1"/>
      <w:marLeft w:val="0"/>
      <w:marRight w:val="0"/>
      <w:marTop w:val="0"/>
      <w:marBottom w:val="0"/>
      <w:divBdr>
        <w:top w:val="none" w:sz="0" w:space="0" w:color="auto"/>
        <w:left w:val="none" w:sz="0" w:space="0" w:color="auto"/>
        <w:bottom w:val="none" w:sz="0" w:space="0" w:color="auto"/>
        <w:right w:val="none" w:sz="0" w:space="0" w:color="auto"/>
      </w:divBdr>
    </w:div>
    <w:div w:id="1187135976">
      <w:bodyDiv w:val="1"/>
      <w:marLeft w:val="0"/>
      <w:marRight w:val="0"/>
      <w:marTop w:val="0"/>
      <w:marBottom w:val="0"/>
      <w:divBdr>
        <w:top w:val="none" w:sz="0" w:space="0" w:color="auto"/>
        <w:left w:val="none" w:sz="0" w:space="0" w:color="auto"/>
        <w:bottom w:val="none" w:sz="0" w:space="0" w:color="auto"/>
        <w:right w:val="none" w:sz="0" w:space="0" w:color="auto"/>
      </w:divBdr>
    </w:div>
    <w:div w:id="1249655153">
      <w:bodyDiv w:val="1"/>
      <w:marLeft w:val="0"/>
      <w:marRight w:val="0"/>
      <w:marTop w:val="0"/>
      <w:marBottom w:val="0"/>
      <w:divBdr>
        <w:top w:val="none" w:sz="0" w:space="0" w:color="auto"/>
        <w:left w:val="none" w:sz="0" w:space="0" w:color="auto"/>
        <w:bottom w:val="none" w:sz="0" w:space="0" w:color="auto"/>
        <w:right w:val="none" w:sz="0" w:space="0" w:color="auto"/>
      </w:divBdr>
    </w:div>
    <w:div w:id="1263222320">
      <w:bodyDiv w:val="1"/>
      <w:marLeft w:val="0"/>
      <w:marRight w:val="0"/>
      <w:marTop w:val="0"/>
      <w:marBottom w:val="0"/>
      <w:divBdr>
        <w:top w:val="none" w:sz="0" w:space="0" w:color="auto"/>
        <w:left w:val="none" w:sz="0" w:space="0" w:color="auto"/>
        <w:bottom w:val="none" w:sz="0" w:space="0" w:color="auto"/>
        <w:right w:val="none" w:sz="0" w:space="0" w:color="auto"/>
      </w:divBdr>
    </w:div>
    <w:div w:id="1274092367">
      <w:bodyDiv w:val="1"/>
      <w:marLeft w:val="0"/>
      <w:marRight w:val="0"/>
      <w:marTop w:val="0"/>
      <w:marBottom w:val="0"/>
      <w:divBdr>
        <w:top w:val="none" w:sz="0" w:space="0" w:color="auto"/>
        <w:left w:val="none" w:sz="0" w:space="0" w:color="auto"/>
        <w:bottom w:val="none" w:sz="0" w:space="0" w:color="auto"/>
        <w:right w:val="none" w:sz="0" w:space="0" w:color="auto"/>
      </w:divBdr>
    </w:div>
    <w:div w:id="1276718549">
      <w:bodyDiv w:val="1"/>
      <w:marLeft w:val="0"/>
      <w:marRight w:val="0"/>
      <w:marTop w:val="0"/>
      <w:marBottom w:val="0"/>
      <w:divBdr>
        <w:top w:val="none" w:sz="0" w:space="0" w:color="auto"/>
        <w:left w:val="none" w:sz="0" w:space="0" w:color="auto"/>
        <w:bottom w:val="none" w:sz="0" w:space="0" w:color="auto"/>
        <w:right w:val="none" w:sz="0" w:space="0" w:color="auto"/>
      </w:divBdr>
    </w:div>
    <w:div w:id="1313677196">
      <w:bodyDiv w:val="1"/>
      <w:marLeft w:val="0"/>
      <w:marRight w:val="0"/>
      <w:marTop w:val="0"/>
      <w:marBottom w:val="0"/>
      <w:divBdr>
        <w:top w:val="none" w:sz="0" w:space="0" w:color="auto"/>
        <w:left w:val="none" w:sz="0" w:space="0" w:color="auto"/>
        <w:bottom w:val="none" w:sz="0" w:space="0" w:color="auto"/>
        <w:right w:val="none" w:sz="0" w:space="0" w:color="auto"/>
      </w:divBdr>
    </w:div>
    <w:div w:id="1344363057">
      <w:bodyDiv w:val="1"/>
      <w:marLeft w:val="0"/>
      <w:marRight w:val="0"/>
      <w:marTop w:val="0"/>
      <w:marBottom w:val="0"/>
      <w:divBdr>
        <w:top w:val="none" w:sz="0" w:space="0" w:color="auto"/>
        <w:left w:val="none" w:sz="0" w:space="0" w:color="auto"/>
        <w:bottom w:val="none" w:sz="0" w:space="0" w:color="auto"/>
        <w:right w:val="none" w:sz="0" w:space="0" w:color="auto"/>
      </w:divBdr>
    </w:div>
    <w:div w:id="1414355448">
      <w:bodyDiv w:val="1"/>
      <w:marLeft w:val="0"/>
      <w:marRight w:val="0"/>
      <w:marTop w:val="0"/>
      <w:marBottom w:val="0"/>
      <w:divBdr>
        <w:top w:val="none" w:sz="0" w:space="0" w:color="auto"/>
        <w:left w:val="none" w:sz="0" w:space="0" w:color="auto"/>
        <w:bottom w:val="none" w:sz="0" w:space="0" w:color="auto"/>
        <w:right w:val="none" w:sz="0" w:space="0" w:color="auto"/>
      </w:divBdr>
    </w:div>
    <w:div w:id="1479299331">
      <w:bodyDiv w:val="1"/>
      <w:marLeft w:val="0"/>
      <w:marRight w:val="0"/>
      <w:marTop w:val="0"/>
      <w:marBottom w:val="0"/>
      <w:divBdr>
        <w:top w:val="none" w:sz="0" w:space="0" w:color="auto"/>
        <w:left w:val="none" w:sz="0" w:space="0" w:color="auto"/>
        <w:bottom w:val="none" w:sz="0" w:space="0" w:color="auto"/>
        <w:right w:val="none" w:sz="0" w:space="0" w:color="auto"/>
      </w:divBdr>
    </w:div>
    <w:div w:id="1481532348">
      <w:bodyDiv w:val="1"/>
      <w:marLeft w:val="0"/>
      <w:marRight w:val="0"/>
      <w:marTop w:val="0"/>
      <w:marBottom w:val="0"/>
      <w:divBdr>
        <w:top w:val="none" w:sz="0" w:space="0" w:color="auto"/>
        <w:left w:val="none" w:sz="0" w:space="0" w:color="auto"/>
        <w:bottom w:val="none" w:sz="0" w:space="0" w:color="auto"/>
        <w:right w:val="none" w:sz="0" w:space="0" w:color="auto"/>
      </w:divBdr>
    </w:div>
    <w:div w:id="1539008567">
      <w:bodyDiv w:val="1"/>
      <w:marLeft w:val="0"/>
      <w:marRight w:val="0"/>
      <w:marTop w:val="0"/>
      <w:marBottom w:val="0"/>
      <w:divBdr>
        <w:top w:val="none" w:sz="0" w:space="0" w:color="auto"/>
        <w:left w:val="none" w:sz="0" w:space="0" w:color="auto"/>
        <w:bottom w:val="none" w:sz="0" w:space="0" w:color="auto"/>
        <w:right w:val="none" w:sz="0" w:space="0" w:color="auto"/>
      </w:divBdr>
    </w:div>
    <w:div w:id="1564028678">
      <w:bodyDiv w:val="1"/>
      <w:marLeft w:val="0"/>
      <w:marRight w:val="0"/>
      <w:marTop w:val="0"/>
      <w:marBottom w:val="0"/>
      <w:divBdr>
        <w:top w:val="none" w:sz="0" w:space="0" w:color="auto"/>
        <w:left w:val="none" w:sz="0" w:space="0" w:color="auto"/>
        <w:bottom w:val="none" w:sz="0" w:space="0" w:color="auto"/>
        <w:right w:val="none" w:sz="0" w:space="0" w:color="auto"/>
      </w:divBdr>
    </w:div>
    <w:div w:id="1570916467">
      <w:bodyDiv w:val="1"/>
      <w:marLeft w:val="0"/>
      <w:marRight w:val="0"/>
      <w:marTop w:val="0"/>
      <w:marBottom w:val="0"/>
      <w:divBdr>
        <w:top w:val="none" w:sz="0" w:space="0" w:color="auto"/>
        <w:left w:val="none" w:sz="0" w:space="0" w:color="auto"/>
        <w:bottom w:val="none" w:sz="0" w:space="0" w:color="auto"/>
        <w:right w:val="none" w:sz="0" w:space="0" w:color="auto"/>
      </w:divBdr>
    </w:div>
    <w:div w:id="1574850331">
      <w:bodyDiv w:val="1"/>
      <w:marLeft w:val="0"/>
      <w:marRight w:val="0"/>
      <w:marTop w:val="0"/>
      <w:marBottom w:val="0"/>
      <w:divBdr>
        <w:top w:val="none" w:sz="0" w:space="0" w:color="auto"/>
        <w:left w:val="none" w:sz="0" w:space="0" w:color="auto"/>
        <w:bottom w:val="none" w:sz="0" w:space="0" w:color="auto"/>
        <w:right w:val="none" w:sz="0" w:space="0" w:color="auto"/>
      </w:divBdr>
    </w:div>
    <w:div w:id="1656763314">
      <w:bodyDiv w:val="1"/>
      <w:marLeft w:val="0"/>
      <w:marRight w:val="0"/>
      <w:marTop w:val="0"/>
      <w:marBottom w:val="0"/>
      <w:divBdr>
        <w:top w:val="none" w:sz="0" w:space="0" w:color="auto"/>
        <w:left w:val="none" w:sz="0" w:space="0" w:color="auto"/>
        <w:bottom w:val="none" w:sz="0" w:space="0" w:color="auto"/>
        <w:right w:val="none" w:sz="0" w:space="0" w:color="auto"/>
      </w:divBdr>
    </w:div>
    <w:div w:id="1669819730">
      <w:bodyDiv w:val="1"/>
      <w:marLeft w:val="0"/>
      <w:marRight w:val="0"/>
      <w:marTop w:val="0"/>
      <w:marBottom w:val="0"/>
      <w:divBdr>
        <w:top w:val="none" w:sz="0" w:space="0" w:color="auto"/>
        <w:left w:val="none" w:sz="0" w:space="0" w:color="auto"/>
        <w:bottom w:val="none" w:sz="0" w:space="0" w:color="auto"/>
        <w:right w:val="none" w:sz="0" w:space="0" w:color="auto"/>
      </w:divBdr>
    </w:div>
    <w:div w:id="1687438290">
      <w:bodyDiv w:val="1"/>
      <w:marLeft w:val="0"/>
      <w:marRight w:val="0"/>
      <w:marTop w:val="0"/>
      <w:marBottom w:val="0"/>
      <w:divBdr>
        <w:top w:val="none" w:sz="0" w:space="0" w:color="auto"/>
        <w:left w:val="none" w:sz="0" w:space="0" w:color="auto"/>
        <w:bottom w:val="none" w:sz="0" w:space="0" w:color="auto"/>
        <w:right w:val="none" w:sz="0" w:space="0" w:color="auto"/>
      </w:divBdr>
    </w:div>
    <w:div w:id="1700427721">
      <w:bodyDiv w:val="1"/>
      <w:marLeft w:val="0"/>
      <w:marRight w:val="0"/>
      <w:marTop w:val="0"/>
      <w:marBottom w:val="0"/>
      <w:divBdr>
        <w:top w:val="none" w:sz="0" w:space="0" w:color="auto"/>
        <w:left w:val="none" w:sz="0" w:space="0" w:color="auto"/>
        <w:bottom w:val="none" w:sz="0" w:space="0" w:color="auto"/>
        <w:right w:val="none" w:sz="0" w:space="0" w:color="auto"/>
      </w:divBdr>
    </w:div>
    <w:div w:id="1701855562">
      <w:bodyDiv w:val="1"/>
      <w:marLeft w:val="0"/>
      <w:marRight w:val="0"/>
      <w:marTop w:val="0"/>
      <w:marBottom w:val="0"/>
      <w:divBdr>
        <w:top w:val="none" w:sz="0" w:space="0" w:color="auto"/>
        <w:left w:val="none" w:sz="0" w:space="0" w:color="auto"/>
        <w:bottom w:val="none" w:sz="0" w:space="0" w:color="auto"/>
        <w:right w:val="none" w:sz="0" w:space="0" w:color="auto"/>
      </w:divBdr>
    </w:div>
    <w:div w:id="1726953974">
      <w:bodyDiv w:val="1"/>
      <w:marLeft w:val="0"/>
      <w:marRight w:val="0"/>
      <w:marTop w:val="0"/>
      <w:marBottom w:val="0"/>
      <w:divBdr>
        <w:top w:val="none" w:sz="0" w:space="0" w:color="auto"/>
        <w:left w:val="none" w:sz="0" w:space="0" w:color="auto"/>
        <w:bottom w:val="none" w:sz="0" w:space="0" w:color="auto"/>
        <w:right w:val="none" w:sz="0" w:space="0" w:color="auto"/>
      </w:divBdr>
    </w:div>
    <w:div w:id="1859154809">
      <w:bodyDiv w:val="1"/>
      <w:marLeft w:val="0"/>
      <w:marRight w:val="0"/>
      <w:marTop w:val="0"/>
      <w:marBottom w:val="0"/>
      <w:divBdr>
        <w:top w:val="none" w:sz="0" w:space="0" w:color="auto"/>
        <w:left w:val="none" w:sz="0" w:space="0" w:color="auto"/>
        <w:bottom w:val="none" w:sz="0" w:space="0" w:color="auto"/>
        <w:right w:val="none" w:sz="0" w:space="0" w:color="auto"/>
      </w:divBdr>
    </w:div>
    <w:div w:id="1967001762">
      <w:bodyDiv w:val="1"/>
      <w:marLeft w:val="0"/>
      <w:marRight w:val="0"/>
      <w:marTop w:val="0"/>
      <w:marBottom w:val="0"/>
      <w:divBdr>
        <w:top w:val="none" w:sz="0" w:space="0" w:color="auto"/>
        <w:left w:val="none" w:sz="0" w:space="0" w:color="auto"/>
        <w:bottom w:val="none" w:sz="0" w:space="0" w:color="auto"/>
        <w:right w:val="none" w:sz="0" w:space="0" w:color="auto"/>
      </w:divBdr>
    </w:div>
    <w:div w:id="1981809313">
      <w:bodyDiv w:val="1"/>
      <w:marLeft w:val="0"/>
      <w:marRight w:val="0"/>
      <w:marTop w:val="0"/>
      <w:marBottom w:val="0"/>
      <w:divBdr>
        <w:top w:val="none" w:sz="0" w:space="0" w:color="auto"/>
        <w:left w:val="none" w:sz="0" w:space="0" w:color="auto"/>
        <w:bottom w:val="none" w:sz="0" w:space="0" w:color="auto"/>
        <w:right w:val="none" w:sz="0" w:space="0" w:color="auto"/>
      </w:divBdr>
    </w:div>
    <w:div w:id="2010212099">
      <w:bodyDiv w:val="1"/>
      <w:marLeft w:val="0"/>
      <w:marRight w:val="0"/>
      <w:marTop w:val="0"/>
      <w:marBottom w:val="0"/>
      <w:divBdr>
        <w:top w:val="none" w:sz="0" w:space="0" w:color="auto"/>
        <w:left w:val="none" w:sz="0" w:space="0" w:color="auto"/>
        <w:bottom w:val="none" w:sz="0" w:space="0" w:color="auto"/>
        <w:right w:val="none" w:sz="0" w:space="0" w:color="auto"/>
      </w:divBdr>
    </w:div>
    <w:div w:id="2065057818">
      <w:bodyDiv w:val="1"/>
      <w:marLeft w:val="0"/>
      <w:marRight w:val="0"/>
      <w:marTop w:val="0"/>
      <w:marBottom w:val="0"/>
      <w:divBdr>
        <w:top w:val="none" w:sz="0" w:space="0" w:color="auto"/>
        <w:left w:val="none" w:sz="0" w:space="0" w:color="auto"/>
        <w:bottom w:val="none" w:sz="0" w:space="0" w:color="auto"/>
        <w:right w:val="none" w:sz="0" w:space="0" w:color="auto"/>
      </w:divBdr>
    </w:div>
    <w:div w:id="2069841744">
      <w:bodyDiv w:val="1"/>
      <w:marLeft w:val="0"/>
      <w:marRight w:val="0"/>
      <w:marTop w:val="0"/>
      <w:marBottom w:val="0"/>
      <w:divBdr>
        <w:top w:val="none" w:sz="0" w:space="0" w:color="auto"/>
        <w:left w:val="none" w:sz="0" w:space="0" w:color="auto"/>
        <w:bottom w:val="none" w:sz="0" w:space="0" w:color="auto"/>
        <w:right w:val="none" w:sz="0" w:space="0" w:color="auto"/>
      </w:divBdr>
    </w:div>
    <w:div w:id="2073263966">
      <w:bodyDiv w:val="1"/>
      <w:marLeft w:val="0"/>
      <w:marRight w:val="0"/>
      <w:marTop w:val="0"/>
      <w:marBottom w:val="0"/>
      <w:divBdr>
        <w:top w:val="none" w:sz="0" w:space="0" w:color="auto"/>
        <w:left w:val="none" w:sz="0" w:space="0" w:color="auto"/>
        <w:bottom w:val="none" w:sz="0" w:space="0" w:color="auto"/>
        <w:right w:val="none" w:sz="0" w:space="0" w:color="auto"/>
      </w:divBdr>
    </w:div>
    <w:div w:id="2098207810">
      <w:bodyDiv w:val="1"/>
      <w:marLeft w:val="0"/>
      <w:marRight w:val="0"/>
      <w:marTop w:val="0"/>
      <w:marBottom w:val="0"/>
      <w:divBdr>
        <w:top w:val="none" w:sz="0" w:space="0" w:color="auto"/>
        <w:left w:val="none" w:sz="0" w:space="0" w:color="auto"/>
        <w:bottom w:val="none" w:sz="0" w:space="0" w:color="auto"/>
        <w:right w:val="none" w:sz="0" w:space="0" w:color="auto"/>
      </w:divBdr>
    </w:div>
    <w:div w:id="21403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fojustice.org/archives/37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7139-3065-1E48-A9CF-C5A029DC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14</Pages>
  <Words>3149</Words>
  <Characters>16820</Characters>
  <Application>Microsoft Office Word</Application>
  <DocSecurity>0</DocSecurity>
  <Lines>266</Lines>
  <Paragraphs>66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Beale A.J.</cp:lastModifiedBy>
  <cp:revision>19</cp:revision>
  <cp:lastPrinted>2020-01-06T12:07:00Z</cp:lastPrinted>
  <dcterms:created xsi:type="dcterms:W3CDTF">2020-03-03T10:12:00Z</dcterms:created>
  <dcterms:modified xsi:type="dcterms:W3CDTF">2020-03-10T11:40:00Z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http://www.zotero.org/styles/oscola</vt:lpwstr>
  </property>
  <property fmtid="{D5CDD505-2E9C-101B-9397-08002B2CF9AE}" pid="21" name="Mendeley Recent Style Name 9_1">
    <vt:lpwstr>OSCOLA (Oxford University Standard for Citation of Legal Authorities)</vt:lpwstr>
  </property>
  <property fmtid="{D5CDD505-2E9C-101B-9397-08002B2CF9AE}" pid="22" name="Mendeley Document_1">
    <vt:lpwstr>True</vt:lpwstr>
  </property>
  <property fmtid="{D5CDD505-2E9C-101B-9397-08002B2CF9AE}" pid="23" name="Mendeley Citation Style_1">
    <vt:lpwstr>http://www.zotero.org/styles/oscola</vt:lpwstr>
  </property>
  <property fmtid="{D5CDD505-2E9C-101B-9397-08002B2CF9AE}" pid="24" name="Mendeley Unique User Id_1">
    <vt:lpwstr>678eef9e-bfbd-380e-bb14-c155f4030dfb</vt:lpwstr>
  </property>
</Properties>
</file>